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41A" w:rsidRPr="00B932DA" w:rsidRDefault="00B7441A" w:rsidP="00B7441A">
      <w:pPr>
        <w:spacing w:after="0" w:line="240" w:lineRule="auto"/>
        <w:jc w:val="center"/>
        <w:rPr>
          <w:rFonts w:ascii="Arial" w:hAnsi="Arial" w:cs="Arial"/>
          <w:b/>
          <w:bCs/>
          <w:sz w:val="21"/>
          <w:szCs w:val="21"/>
        </w:rPr>
      </w:pPr>
      <w:bookmarkStart w:id="0" w:name="_GoBack"/>
      <w:bookmarkEnd w:id="0"/>
      <w:r>
        <w:rPr>
          <w:rFonts w:ascii="Arial" w:hAnsi="Arial" w:cs="Arial"/>
          <w:b/>
          <w:bCs/>
          <w:sz w:val="21"/>
          <w:szCs w:val="21"/>
        </w:rPr>
        <w:t>7</w:t>
      </w:r>
      <w:r w:rsidRPr="00873ECD">
        <w:rPr>
          <w:rFonts w:ascii="Arial" w:hAnsi="Arial" w:cs="Arial"/>
          <w:b/>
          <w:bCs/>
          <w:sz w:val="21"/>
          <w:szCs w:val="21"/>
          <w:vertAlign w:val="superscript"/>
        </w:rPr>
        <w:t>th</w:t>
      </w:r>
      <w:r>
        <w:rPr>
          <w:rFonts w:ascii="Arial" w:hAnsi="Arial" w:cs="Arial"/>
          <w:b/>
          <w:bCs/>
          <w:sz w:val="21"/>
          <w:szCs w:val="21"/>
        </w:rPr>
        <w:t xml:space="preserve"> </w:t>
      </w:r>
      <w:r w:rsidRPr="00B932DA">
        <w:rPr>
          <w:rFonts w:ascii="Arial" w:hAnsi="Arial" w:cs="Arial"/>
          <w:b/>
          <w:bCs/>
          <w:sz w:val="21"/>
          <w:szCs w:val="21"/>
        </w:rPr>
        <w:t xml:space="preserve">Progress </w:t>
      </w:r>
      <w:r>
        <w:rPr>
          <w:rFonts w:ascii="Arial" w:hAnsi="Arial" w:cs="Arial"/>
          <w:b/>
          <w:bCs/>
          <w:sz w:val="21"/>
          <w:szCs w:val="21"/>
        </w:rPr>
        <w:t xml:space="preserve">Report </w:t>
      </w:r>
      <w:r w:rsidRPr="00B932DA">
        <w:rPr>
          <w:rFonts w:ascii="Arial" w:hAnsi="Arial" w:cs="Arial"/>
          <w:b/>
          <w:bCs/>
          <w:sz w:val="21"/>
          <w:szCs w:val="21"/>
        </w:rPr>
        <w:t>on the Implementation of GHS in APEC Economies</w:t>
      </w:r>
    </w:p>
    <w:p w:rsidR="00B7441A" w:rsidRPr="001540D3" w:rsidRDefault="00B7441A" w:rsidP="00B7441A">
      <w:pPr>
        <w:spacing w:after="0" w:line="240" w:lineRule="auto"/>
        <w:jc w:val="center"/>
        <w:rPr>
          <w:rFonts w:ascii="Arial" w:hAnsi="Arial" w:cs="Arial"/>
          <w:b/>
          <w:bCs/>
          <w:sz w:val="21"/>
          <w:szCs w:val="21"/>
        </w:rPr>
      </w:pPr>
      <w:r w:rsidRPr="001540D3">
        <w:rPr>
          <w:rFonts w:ascii="Arial" w:hAnsi="Arial" w:cs="Arial"/>
          <w:b/>
          <w:bCs/>
          <w:sz w:val="21"/>
          <w:szCs w:val="21"/>
        </w:rPr>
        <w:t>APEC Chemical Dialogue Virtual Working Group on GHS</w:t>
      </w:r>
    </w:p>
    <w:p w:rsidR="00B7441A" w:rsidRPr="009B30ED" w:rsidRDefault="00B7441A" w:rsidP="00B7441A">
      <w:pPr>
        <w:spacing w:after="0" w:line="240" w:lineRule="auto"/>
        <w:jc w:val="center"/>
        <w:rPr>
          <w:rFonts w:ascii="Arial" w:hAnsi="Arial" w:cs="Arial"/>
          <w:b/>
          <w:bCs/>
          <w:sz w:val="21"/>
          <w:szCs w:val="21"/>
        </w:rPr>
      </w:pPr>
      <w:r>
        <w:rPr>
          <w:rFonts w:ascii="Arial" w:hAnsi="Arial" w:cs="Arial"/>
          <w:b/>
          <w:bCs/>
          <w:sz w:val="21"/>
          <w:szCs w:val="21"/>
        </w:rPr>
        <w:t>April 2016</w:t>
      </w:r>
    </w:p>
    <w:p w:rsidR="00B7441A" w:rsidRDefault="00B7441A" w:rsidP="00B7441A">
      <w:pPr>
        <w:spacing w:after="0" w:line="240" w:lineRule="auto"/>
        <w:jc w:val="both"/>
        <w:rPr>
          <w:rFonts w:ascii="Arial" w:hAnsi="Arial" w:cs="Arial"/>
          <w:b/>
          <w:iCs/>
          <w:sz w:val="21"/>
          <w:szCs w:val="21"/>
        </w:rPr>
      </w:pPr>
    </w:p>
    <w:p w:rsidR="00B7441A" w:rsidRPr="001540D3" w:rsidRDefault="00B7441A" w:rsidP="00B7441A">
      <w:pPr>
        <w:spacing w:after="0" w:line="240" w:lineRule="auto"/>
        <w:jc w:val="both"/>
        <w:rPr>
          <w:rFonts w:ascii="Arial" w:hAnsi="Arial" w:cs="Arial"/>
          <w:b/>
          <w:iCs/>
          <w:sz w:val="21"/>
          <w:szCs w:val="21"/>
        </w:rPr>
      </w:pPr>
    </w:p>
    <w:p w:rsidR="007A4D46" w:rsidRPr="007330B1" w:rsidRDefault="007A4D46" w:rsidP="007A4D46">
      <w:pPr>
        <w:spacing w:after="0" w:line="240" w:lineRule="auto"/>
        <w:jc w:val="both"/>
        <w:rPr>
          <w:rFonts w:ascii="Arial" w:hAnsi="Arial" w:cs="Arial"/>
          <w:b/>
          <w:sz w:val="21"/>
          <w:szCs w:val="21"/>
        </w:rPr>
      </w:pPr>
      <w:r w:rsidRPr="007330B1">
        <w:rPr>
          <w:rFonts w:ascii="Arial" w:hAnsi="Arial" w:cs="Arial"/>
          <w:b/>
          <w:iCs/>
          <w:sz w:val="21"/>
          <w:szCs w:val="21"/>
        </w:rPr>
        <w:t xml:space="preserve">SUMMARY </w:t>
      </w:r>
      <w:r>
        <w:rPr>
          <w:rFonts w:ascii="Arial" w:hAnsi="Arial" w:cs="Arial"/>
          <w:b/>
          <w:iCs/>
          <w:sz w:val="21"/>
          <w:szCs w:val="21"/>
        </w:rPr>
        <w:t>AND DISCUSSION</w:t>
      </w:r>
    </w:p>
    <w:p w:rsidR="007A4D46" w:rsidRDefault="007A4D46" w:rsidP="007A4D46">
      <w:pPr>
        <w:spacing w:after="0" w:line="240" w:lineRule="auto"/>
        <w:jc w:val="both"/>
        <w:rPr>
          <w:rFonts w:ascii="Arial" w:hAnsi="Arial" w:cs="Arial"/>
          <w:sz w:val="21"/>
          <w:szCs w:val="21"/>
        </w:rPr>
      </w:pPr>
      <w:r>
        <w:rPr>
          <w:rFonts w:ascii="Arial" w:hAnsi="Arial" w:cs="Arial"/>
          <w:sz w:val="21"/>
          <w:szCs w:val="21"/>
        </w:rPr>
        <w:t>The implementation of GHS is continuing to progress in the APEC region for the Industrial Workplace sector.  11 out of 12 economies that have provided a status report have either fully implemented GHS or are in the process of staged implementation.</w:t>
      </w:r>
    </w:p>
    <w:p w:rsidR="002A75B3" w:rsidRDefault="002A75B3" w:rsidP="002A75B3">
      <w:pPr>
        <w:spacing w:after="0" w:line="240" w:lineRule="auto"/>
        <w:jc w:val="both"/>
        <w:rPr>
          <w:rFonts w:ascii="Arial" w:hAnsi="Arial" w:cs="Arial"/>
          <w:sz w:val="21"/>
          <w:szCs w:val="21"/>
        </w:rPr>
      </w:pPr>
    </w:p>
    <w:p w:rsidR="002A75B3" w:rsidRDefault="002A75B3" w:rsidP="002A75B3">
      <w:pPr>
        <w:spacing w:after="0" w:line="240" w:lineRule="auto"/>
        <w:jc w:val="both"/>
        <w:rPr>
          <w:rFonts w:ascii="Arial" w:hAnsi="Arial" w:cs="Arial"/>
          <w:sz w:val="21"/>
          <w:szCs w:val="21"/>
        </w:rPr>
      </w:pPr>
      <w:r>
        <w:rPr>
          <w:rFonts w:ascii="Arial" w:hAnsi="Arial" w:cs="Arial"/>
          <w:sz w:val="21"/>
          <w:szCs w:val="21"/>
        </w:rPr>
        <w:t>GHS does not appear to be a risk management system of choice for consumer products in most APEC economies.  In previous reports, the cost of GHS implementation outweighing the benefits for consumer products has been highlighted as a major reason for GHS not being implemented for this sector.</w:t>
      </w:r>
    </w:p>
    <w:p w:rsidR="002A75B3" w:rsidRDefault="002A75B3" w:rsidP="002A75B3">
      <w:pPr>
        <w:spacing w:after="0" w:line="240" w:lineRule="auto"/>
        <w:jc w:val="both"/>
        <w:rPr>
          <w:rFonts w:ascii="Arial" w:hAnsi="Arial" w:cs="Arial"/>
          <w:sz w:val="21"/>
          <w:szCs w:val="21"/>
        </w:rPr>
      </w:pPr>
    </w:p>
    <w:p w:rsidR="002A75B3" w:rsidRDefault="002A75B3" w:rsidP="002A75B3">
      <w:pPr>
        <w:spacing w:after="0" w:line="240" w:lineRule="auto"/>
        <w:jc w:val="both"/>
        <w:rPr>
          <w:rFonts w:ascii="Arial" w:hAnsi="Arial" w:cs="Arial"/>
          <w:sz w:val="21"/>
          <w:szCs w:val="21"/>
        </w:rPr>
      </w:pPr>
      <w:r>
        <w:rPr>
          <w:rFonts w:ascii="Arial" w:hAnsi="Arial" w:cs="Arial"/>
          <w:sz w:val="21"/>
          <w:szCs w:val="21"/>
        </w:rPr>
        <w:t>Similarly for agricultural products, GHS does not appear to be appropriate as a risk management system of agricultural products on its own.  Of the two economies that have implemented GHS for agriculture, New Zealand uses GHS as the basis for risk assessment and decisions, adding and removing appropriate risk management elements after risk assessment.  While Vietnam has stated that it has implemented GHS for agricultural products, there has not been enough information to review the method of implementation.</w:t>
      </w:r>
    </w:p>
    <w:p w:rsidR="002A75B3" w:rsidRDefault="002A75B3" w:rsidP="002A75B3">
      <w:pPr>
        <w:spacing w:after="0" w:line="240" w:lineRule="auto"/>
        <w:jc w:val="both"/>
        <w:rPr>
          <w:rFonts w:ascii="Arial" w:hAnsi="Arial" w:cs="Arial"/>
          <w:sz w:val="21"/>
          <w:szCs w:val="21"/>
        </w:rPr>
      </w:pPr>
    </w:p>
    <w:p w:rsidR="002A75B3" w:rsidRDefault="002A75B3" w:rsidP="002A75B3">
      <w:pPr>
        <w:spacing w:after="0" w:line="240" w:lineRule="auto"/>
        <w:jc w:val="both"/>
        <w:rPr>
          <w:rFonts w:ascii="Arial" w:hAnsi="Arial" w:cs="Arial"/>
          <w:sz w:val="21"/>
          <w:szCs w:val="21"/>
        </w:rPr>
      </w:pPr>
      <w:r>
        <w:rPr>
          <w:rFonts w:ascii="Arial" w:hAnsi="Arial" w:cs="Arial"/>
          <w:sz w:val="21"/>
          <w:szCs w:val="21"/>
        </w:rPr>
        <w:t>In Australia, where GHS implementation in industrial workplace is impacting on agricultural chemicals, it is noted that neither the primary risk management body for agricultural chemicals, the Australian Pesticides and Veterinary Medicines Authority nor the regulated industry appear at ease with the impact of GHS in the agriculture sector.</w:t>
      </w:r>
      <w:r w:rsidRPr="00CF751D">
        <w:rPr>
          <w:rFonts w:ascii="Arial" w:hAnsi="Arial" w:cs="Arial"/>
          <w:sz w:val="21"/>
          <w:szCs w:val="21"/>
        </w:rPr>
        <w:t xml:space="preserve"> </w:t>
      </w:r>
      <w:r>
        <w:rPr>
          <w:rFonts w:ascii="Arial" w:hAnsi="Arial" w:cs="Arial"/>
          <w:sz w:val="21"/>
          <w:szCs w:val="21"/>
        </w:rPr>
        <w:t xml:space="preserve"> </w:t>
      </w:r>
    </w:p>
    <w:p w:rsidR="002A75B3" w:rsidRDefault="002A75B3" w:rsidP="002A75B3">
      <w:pPr>
        <w:spacing w:after="0" w:line="240" w:lineRule="auto"/>
        <w:jc w:val="both"/>
        <w:rPr>
          <w:rFonts w:ascii="Arial" w:hAnsi="Arial" w:cs="Arial"/>
          <w:sz w:val="21"/>
          <w:szCs w:val="21"/>
        </w:rPr>
      </w:pPr>
    </w:p>
    <w:p w:rsidR="002A75B3" w:rsidRDefault="002A75B3" w:rsidP="002A75B3">
      <w:pPr>
        <w:spacing w:after="0" w:line="240" w:lineRule="auto"/>
        <w:jc w:val="both"/>
        <w:rPr>
          <w:rFonts w:ascii="Arial" w:hAnsi="Arial" w:cs="Arial"/>
          <w:sz w:val="21"/>
          <w:szCs w:val="21"/>
        </w:rPr>
      </w:pPr>
      <w:r>
        <w:rPr>
          <w:rFonts w:ascii="Arial" w:hAnsi="Arial" w:cs="Arial"/>
          <w:sz w:val="21"/>
          <w:szCs w:val="21"/>
        </w:rPr>
        <w:t>It appears that there is a need to ensure that GHS is not implemented in addition to any economy’s current agricultural regulatory framework based on FAO/WHO, in order to minimise duplicative or conflicting requirements which add cost without providing benefits.</w:t>
      </w:r>
    </w:p>
    <w:p w:rsidR="007A4D46" w:rsidRDefault="007A4D46" w:rsidP="007A4D46">
      <w:pPr>
        <w:spacing w:after="0" w:line="240" w:lineRule="auto"/>
        <w:jc w:val="both"/>
        <w:rPr>
          <w:rFonts w:ascii="Arial" w:hAnsi="Arial" w:cs="Arial"/>
          <w:sz w:val="21"/>
          <w:szCs w:val="21"/>
        </w:rPr>
      </w:pPr>
    </w:p>
    <w:p w:rsidR="007A4D46" w:rsidRDefault="007A4D46" w:rsidP="002A75B3">
      <w:pPr>
        <w:spacing w:after="0" w:line="240" w:lineRule="auto"/>
        <w:jc w:val="both"/>
        <w:rPr>
          <w:rFonts w:ascii="Arial" w:hAnsi="Arial" w:cs="Arial"/>
          <w:sz w:val="21"/>
          <w:szCs w:val="21"/>
        </w:rPr>
      </w:pPr>
      <w:r>
        <w:rPr>
          <w:rFonts w:ascii="Arial" w:hAnsi="Arial" w:cs="Arial"/>
          <w:sz w:val="21"/>
          <w:szCs w:val="21"/>
        </w:rPr>
        <w:t>It was noted in previous reports that the greatest benefit from GHS implementation would be derived from the Industrial Workplace sector if GHS could be implemented consistently between trading partners.  However, significant inconsistencies continue to exist in APEC economies’ implementation of GHS in all aspects of GHS implementation e.g. timing of implementation, classification “building blocks” adopted and use of economy specific mandatory classification databases.</w:t>
      </w:r>
    </w:p>
    <w:p w:rsidR="007A4D46" w:rsidRPr="002A75B3" w:rsidRDefault="007A4D46" w:rsidP="002A75B3">
      <w:pPr>
        <w:spacing w:after="0" w:line="240" w:lineRule="auto"/>
        <w:jc w:val="both"/>
        <w:rPr>
          <w:rFonts w:ascii="Arial" w:hAnsi="Arial" w:cs="Arial"/>
          <w:sz w:val="21"/>
          <w:szCs w:val="21"/>
        </w:rPr>
      </w:pPr>
    </w:p>
    <w:p w:rsidR="002A75B3" w:rsidRPr="002A75B3" w:rsidRDefault="002A75B3" w:rsidP="002A75B3">
      <w:pPr>
        <w:spacing w:after="0" w:line="240" w:lineRule="auto"/>
        <w:rPr>
          <w:rFonts w:ascii="Arial" w:hAnsi="Arial" w:cs="Arial"/>
          <w:sz w:val="21"/>
          <w:szCs w:val="21"/>
        </w:rPr>
      </w:pPr>
      <w:r w:rsidRPr="002A75B3">
        <w:rPr>
          <w:rFonts w:ascii="Arial" w:hAnsi="Arial" w:cs="Arial"/>
          <w:sz w:val="21"/>
          <w:szCs w:val="21"/>
        </w:rPr>
        <w:t>Important</w:t>
      </w:r>
      <w:r>
        <w:rPr>
          <w:rFonts w:ascii="Arial" w:hAnsi="Arial" w:cs="Arial"/>
          <w:sz w:val="21"/>
          <w:szCs w:val="21"/>
        </w:rPr>
        <w:t xml:space="preserve"> current impediments to harmonis</w:t>
      </w:r>
      <w:r w:rsidRPr="002A75B3">
        <w:rPr>
          <w:rFonts w:ascii="Arial" w:hAnsi="Arial" w:cs="Arial"/>
          <w:sz w:val="21"/>
          <w:szCs w:val="21"/>
        </w:rPr>
        <w:t>ation identified by industry include:</w:t>
      </w:r>
    </w:p>
    <w:p w:rsidR="002A75B3" w:rsidRPr="002A75B3" w:rsidRDefault="002A75B3" w:rsidP="002A75B3">
      <w:pPr>
        <w:pStyle w:val="ListParagraph"/>
        <w:numPr>
          <w:ilvl w:val="0"/>
          <w:numId w:val="9"/>
        </w:numPr>
        <w:rPr>
          <w:rFonts w:ascii="Arial" w:hAnsi="Arial" w:cs="Arial"/>
          <w:sz w:val="21"/>
          <w:szCs w:val="21"/>
        </w:rPr>
      </w:pPr>
      <w:r w:rsidRPr="002A75B3">
        <w:rPr>
          <w:rFonts w:ascii="Arial" w:hAnsi="Arial" w:cs="Arial"/>
          <w:sz w:val="21"/>
          <w:szCs w:val="21"/>
        </w:rPr>
        <w:t xml:space="preserve">The differences in GHS mixture classification cutoff values/thresholds between economies; </w:t>
      </w:r>
    </w:p>
    <w:p w:rsidR="002A75B3" w:rsidRPr="002A75B3" w:rsidRDefault="002A75B3" w:rsidP="002A75B3">
      <w:pPr>
        <w:pStyle w:val="ListParagraph"/>
        <w:numPr>
          <w:ilvl w:val="0"/>
          <w:numId w:val="9"/>
        </w:numPr>
        <w:rPr>
          <w:rFonts w:ascii="Arial" w:hAnsi="Arial" w:cs="Arial"/>
          <w:sz w:val="21"/>
          <w:szCs w:val="21"/>
        </w:rPr>
      </w:pPr>
      <w:r w:rsidRPr="002A75B3">
        <w:rPr>
          <w:rFonts w:ascii="Arial" w:hAnsi="Arial" w:cs="Arial"/>
          <w:sz w:val="21"/>
          <w:szCs w:val="21"/>
        </w:rPr>
        <w:t>Different interpretations of how to apply the GHS classification criteria to unknown or variable composition, complex reaction products and biological materials (UVCBs);</w:t>
      </w:r>
    </w:p>
    <w:p w:rsidR="002A75B3" w:rsidRPr="002A75B3" w:rsidRDefault="002A75B3" w:rsidP="002A75B3">
      <w:pPr>
        <w:pStyle w:val="ListParagraph"/>
        <w:numPr>
          <w:ilvl w:val="0"/>
          <w:numId w:val="9"/>
        </w:numPr>
        <w:rPr>
          <w:rFonts w:ascii="Arial" w:hAnsi="Arial" w:cs="Arial"/>
          <w:sz w:val="21"/>
          <w:szCs w:val="21"/>
        </w:rPr>
      </w:pPr>
      <w:r>
        <w:rPr>
          <w:rFonts w:ascii="Arial" w:hAnsi="Arial" w:cs="Arial"/>
          <w:sz w:val="21"/>
          <w:szCs w:val="21"/>
        </w:rPr>
        <w:t>Implementation of non-GHS hazard end-points such as</w:t>
      </w:r>
      <w:r w:rsidRPr="002A75B3">
        <w:rPr>
          <w:rFonts w:ascii="Arial" w:hAnsi="Arial" w:cs="Arial"/>
          <w:sz w:val="21"/>
          <w:szCs w:val="21"/>
        </w:rPr>
        <w:t xml:space="preserve"> combustible dusts</w:t>
      </w:r>
      <w:r>
        <w:rPr>
          <w:rFonts w:ascii="Arial" w:hAnsi="Arial" w:cs="Arial"/>
          <w:sz w:val="21"/>
          <w:szCs w:val="21"/>
        </w:rPr>
        <w:t xml:space="preserve"> and asphyxiant gases</w:t>
      </w:r>
      <w:r w:rsidRPr="002A75B3">
        <w:rPr>
          <w:rFonts w:ascii="Arial" w:hAnsi="Arial" w:cs="Arial"/>
          <w:sz w:val="21"/>
          <w:szCs w:val="21"/>
        </w:rPr>
        <w:t>; and</w:t>
      </w:r>
    </w:p>
    <w:p w:rsidR="002A75B3" w:rsidRPr="002A75B3" w:rsidRDefault="002A75B3" w:rsidP="002A75B3">
      <w:pPr>
        <w:pStyle w:val="ListParagraph"/>
        <w:numPr>
          <w:ilvl w:val="0"/>
          <w:numId w:val="9"/>
        </w:numPr>
        <w:rPr>
          <w:rFonts w:ascii="Arial" w:hAnsi="Arial" w:cs="Arial"/>
          <w:sz w:val="21"/>
          <w:szCs w:val="21"/>
        </w:rPr>
      </w:pPr>
      <w:r>
        <w:rPr>
          <w:rFonts w:ascii="Arial" w:hAnsi="Arial" w:cs="Arial"/>
          <w:sz w:val="21"/>
          <w:szCs w:val="21"/>
        </w:rPr>
        <w:t>Implementation of SDS formats by regulatory bodies that are divergence from GHS SDS formats.</w:t>
      </w:r>
    </w:p>
    <w:p w:rsidR="002A75B3" w:rsidRPr="002A75B3" w:rsidRDefault="002A75B3" w:rsidP="002A75B3">
      <w:pPr>
        <w:spacing w:after="0" w:line="240" w:lineRule="auto"/>
        <w:jc w:val="both"/>
        <w:rPr>
          <w:rFonts w:ascii="Arial" w:hAnsi="Arial" w:cs="Arial"/>
          <w:sz w:val="21"/>
          <w:szCs w:val="21"/>
        </w:rPr>
      </w:pPr>
    </w:p>
    <w:p w:rsidR="002A75B3" w:rsidRDefault="007A4D46" w:rsidP="002A75B3">
      <w:pPr>
        <w:spacing w:after="0" w:line="240" w:lineRule="auto"/>
        <w:jc w:val="both"/>
        <w:rPr>
          <w:rFonts w:ascii="Arial" w:hAnsi="Arial" w:cs="Arial"/>
          <w:sz w:val="21"/>
          <w:szCs w:val="21"/>
        </w:rPr>
      </w:pPr>
      <w:r w:rsidRPr="002A75B3">
        <w:rPr>
          <w:rFonts w:ascii="Arial" w:hAnsi="Arial" w:cs="Arial"/>
          <w:sz w:val="21"/>
          <w:szCs w:val="21"/>
        </w:rPr>
        <w:t>This is a concerning trend, noting that the same issues are consistently being identified over several years.  A comprehensive review of the obstacles to implementing GHS that is compatible within the APEC region at the APEC economy level is needed to provide solutions that can be implemented at the economy level.</w:t>
      </w:r>
    </w:p>
    <w:p w:rsidR="002A75B3" w:rsidRPr="002A75B3" w:rsidRDefault="002A75B3" w:rsidP="002A75B3">
      <w:pPr>
        <w:spacing w:after="0" w:line="240" w:lineRule="auto"/>
        <w:jc w:val="both"/>
        <w:rPr>
          <w:rFonts w:ascii="Arial" w:hAnsi="Arial" w:cs="Arial"/>
          <w:sz w:val="21"/>
          <w:szCs w:val="21"/>
        </w:rPr>
      </w:pPr>
    </w:p>
    <w:p w:rsidR="002A75B3" w:rsidRPr="002A75B3" w:rsidRDefault="002A75B3" w:rsidP="002A75B3">
      <w:pPr>
        <w:spacing w:after="0" w:line="240" w:lineRule="auto"/>
        <w:jc w:val="both"/>
        <w:rPr>
          <w:rFonts w:ascii="Arial" w:hAnsi="Arial" w:cs="Arial"/>
          <w:sz w:val="21"/>
          <w:szCs w:val="21"/>
        </w:rPr>
      </w:pPr>
      <w:r w:rsidRPr="002A75B3">
        <w:rPr>
          <w:rFonts w:ascii="Arial" w:hAnsi="Arial" w:cs="Arial"/>
          <w:sz w:val="21"/>
          <w:szCs w:val="21"/>
        </w:rPr>
        <w:t xml:space="preserve">In response to instructions from the Ministers Responsible for Trade in 2015, the Virtual Working Group (VWG) on GHS undertook a benchmark survey of the divergence in GHS implementation across APEC economies.  That survey confirmed on an APEC-wide basis, what the annual </w:t>
      </w:r>
      <w:r w:rsidRPr="002A75B3">
        <w:rPr>
          <w:rFonts w:ascii="Arial" w:hAnsi="Arial" w:cs="Arial"/>
          <w:sz w:val="21"/>
          <w:szCs w:val="21"/>
        </w:rPr>
        <w:lastRenderedPageBreak/>
        <w:t>implementation reports had reported at an individual-economy level; APEC economies are implementing GHS differently – different hazard categories, revision numbers, classifications, cut-off values, etc. – undermining the benefits of a globally harmonized system.</w:t>
      </w:r>
    </w:p>
    <w:p w:rsidR="002A75B3" w:rsidRPr="002A75B3" w:rsidRDefault="002A75B3" w:rsidP="002A75B3">
      <w:pPr>
        <w:spacing w:after="0" w:line="240" w:lineRule="auto"/>
        <w:jc w:val="both"/>
        <w:rPr>
          <w:rFonts w:ascii="Arial" w:hAnsi="Arial" w:cs="Arial"/>
          <w:sz w:val="21"/>
          <w:szCs w:val="21"/>
        </w:rPr>
      </w:pPr>
    </w:p>
    <w:p w:rsidR="002A75B3" w:rsidRPr="002A75B3" w:rsidRDefault="002A75B3" w:rsidP="002A75B3">
      <w:pPr>
        <w:spacing w:after="0" w:line="240" w:lineRule="auto"/>
        <w:jc w:val="both"/>
        <w:rPr>
          <w:rFonts w:ascii="Arial" w:hAnsi="Arial" w:cs="Arial"/>
          <w:sz w:val="21"/>
          <w:szCs w:val="21"/>
        </w:rPr>
      </w:pPr>
      <w:r w:rsidRPr="002A75B3">
        <w:rPr>
          <w:rFonts w:ascii="Arial" w:hAnsi="Arial" w:cs="Arial"/>
          <w:sz w:val="21"/>
          <w:szCs w:val="21"/>
        </w:rPr>
        <w:t>APEC Ministers welcomed this research at the end of 2015 and called for a report in 2016 on steps that the CD was taking to reduce these divergences.  In response to this call, the CD has submitted a project proposal, sponsored by Mexico and cosponsored by eight other APEC economies, for a multi-day information sharing and capacity building project to be held at SOM3 2016 on addressing these divergences.</w:t>
      </w:r>
    </w:p>
    <w:p w:rsidR="002A75B3" w:rsidRPr="002A75B3" w:rsidRDefault="002A75B3" w:rsidP="002A75B3">
      <w:pPr>
        <w:spacing w:after="0" w:line="240" w:lineRule="auto"/>
        <w:jc w:val="both"/>
        <w:rPr>
          <w:rFonts w:ascii="Arial" w:hAnsi="Arial" w:cs="Arial"/>
          <w:sz w:val="21"/>
          <w:szCs w:val="21"/>
        </w:rPr>
      </w:pPr>
    </w:p>
    <w:p w:rsidR="002A75B3" w:rsidRPr="002A75B3" w:rsidRDefault="002A75B3" w:rsidP="002A75B3">
      <w:pPr>
        <w:spacing w:after="0" w:line="240" w:lineRule="auto"/>
        <w:jc w:val="both"/>
        <w:rPr>
          <w:rFonts w:ascii="Arial" w:hAnsi="Arial" w:cs="Arial"/>
          <w:sz w:val="21"/>
          <w:szCs w:val="21"/>
        </w:rPr>
      </w:pPr>
      <w:r w:rsidRPr="002A75B3">
        <w:rPr>
          <w:rFonts w:ascii="Arial" w:hAnsi="Arial" w:cs="Arial"/>
          <w:sz w:val="21"/>
          <w:szCs w:val="21"/>
        </w:rPr>
        <w:t xml:space="preserve">This </w:t>
      </w:r>
      <w:r>
        <w:rPr>
          <w:rFonts w:ascii="Arial" w:hAnsi="Arial" w:cs="Arial"/>
          <w:sz w:val="21"/>
          <w:szCs w:val="21"/>
        </w:rPr>
        <w:t>report</w:t>
      </w:r>
      <w:r w:rsidRPr="002A75B3">
        <w:rPr>
          <w:rFonts w:ascii="Arial" w:hAnsi="Arial" w:cs="Arial"/>
          <w:sz w:val="21"/>
          <w:szCs w:val="21"/>
        </w:rPr>
        <w:t xml:space="preserve"> underscores the importance of this work and the </w:t>
      </w:r>
      <w:r>
        <w:rPr>
          <w:rFonts w:ascii="Arial" w:hAnsi="Arial" w:cs="Arial"/>
          <w:sz w:val="21"/>
          <w:szCs w:val="21"/>
        </w:rPr>
        <w:t>importance of</w:t>
      </w:r>
      <w:r w:rsidRPr="002A75B3">
        <w:rPr>
          <w:rFonts w:ascii="Arial" w:hAnsi="Arial" w:cs="Arial"/>
          <w:sz w:val="21"/>
          <w:szCs w:val="21"/>
        </w:rPr>
        <w:t xml:space="preserve"> APEC as a regional forum to maximize the trade and efficiency value and minimize the unnecessary costs of divergent implementation of the GHS</w:t>
      </w:r>
      <w:r>
        <w:rPr>
          <w:rFonts w:ascii="Arial" w:hAnsi="Arial" w:cs="Arial"/>
          <w:sz w:val="21"/>
          <w:szCs w:val="21"/>
        </w:rPr>
        <w:t>. In order to achieve this, governments and industry must work together to find and implement pragmatic solutions</w:t>
      </w:r>
      <w:r w:rsidRPr="002A75B3">
        <w:rPr>
          <w:rFonts w:ascii="Arial" w:hAnsi="Arial" w:cs="Arial"/>
          <w:sz w:val="21"/>
          <w:szCs w:val="21"/>
        </w:rPr>
        <w:t>.</w:t>
      </w:r>
    </w:p>
    <w:p w:rsidR="007A4D46" w:rsidRDefault="007A4D46" w:rsidP="007A4D46">
      <w:pPr>
        <w:spacing w:after="0" w:line="240" w:lineRule="auto"/>
        <w:jc w:val="both"/>
        <w:rPr>
          <w:rFonts w:ascii="Arial" w:hAnsi="Arial" w:cs="Arial"/>
          <w:sz w:val="21"/>
          <w:szCs w:val="21"/>
        </w:rPr>
      </w:pPr>
    </w:p>
    <w:p w:rsidR="007A4D46" w:rsidRPr="00FE2186" w:rsidRDefault="007A4D46" w:rsidP="007A4D46">
      <w:pPr>
        <w:spacing w:after="0" w:line="240" w:lineRule="auto"/>
        <w:jc w:val="both"/>
        <w:rPr>
          <w:rFonts w:ascii="Arial" w:hAnsi="Arial" w:cs="Arial"/>
          <w:b/>
          <w:sz w:val="21"/>
          <w:szCs w:val="21"/>
        </w:rPr>
      </w:pPr>
      <w:r w:rsidRPr="00FE2186">
        <w:rPr>
          <w:rFonts w:ascii="Arial" w:hAnsi="Arial" w:cs="Arial"/>
          <w:b/>
          <w:sz w:val="21"/>
          <w:szCs w:val="21"/>
        </w:rPr>
        <w:t>RECOMMENDATIONS</w:t>
      </w:r>
    </w:p>
    <w:p w:rsidR="007A4D46" w:rsidRDefault="007A4D46" w:rsidP="007A4D46">
      <w:pPr>
        <w:numPr>
          <w:ilvl w:val="0"/>
          <w:numId w:val="1"/>
        </w:numPr>
        <w:spacing w:after="0" w:line="240" w:lineRule="auto"/>
        <w:jc w:val="both"/>
        <w:rPr>
          <w:rFonts w:ascii="Arial" w:hAnsi="Arial" w:cs="Arial"/>
          <w:sz w:val="21"/>
          <w:szCs w:val="21"/>
        </w:rPr>
      </w:pPr>
      <w:r>
        <w:rPr>
          <w:rFonts w:ascii="Arial" w:hAnsi="Arial" w:cs="Arial"/>
          <w:sz w:val="21"/>
          <w:szCs w:val="21"/>
        </w:rPr>
        <w:t>Note the report.</w:t>
      </w:r>
    </w:p>
    <w:p w:rsidR="00456A92" w:rsidRDefault="007A4D46" w:rsidP="00456A92">
      <w:pPr>
        <w:numPr>
          <w:ilvl w:val="0"/>
          <w:numId w:val="1"/>
        </w:numPr>
        <w:spacing w:after="0" w:line="240" w:lineRule="auto"/>
        <w:jc w:val="both"/>
        <w:rPr>
          <w:rFonts w:ascii="Arial" w:hAnsi="Arial" w:cs="Arial"/>
          <w:sz w:val="21"/>
          <w:szCs w:val="21"/>
        </w:rPr>
      </w:pPr>
      <w:r>
        <w:rPr>
          <w:rFonts w:ascii="Arial" w:hAnsi="Arial" w:cs="Arial"/>
          <w:sz w:val="21"/>
          <w:szCs w:val="21"/>
        </w:rPr>
        <w:t>Recommend that a comprehensive review of issues identified, and potential solutions to the issues at APEC economy level be considered by a government/industry joint-committee, noting that the Mexico proposal, if successful, could provide an opportunity for this.</w:t>
      </w:r>
      <w:r w:rsidR="00456A92">
        <w:rPr>
          <w:rFonts w:ascii="Arial" w:hAnsi="Arial" w:cs="Arial"/>
          <w:sz w:val="21"/>
          <w:szCs w:val="21"/>
        </w:rPr>
        <w:t xml:space="preserve">  Potential solutions for discussion could include solutions previously identified and proposed by the VWG and industry members of the APEC CD:</w:t>
      </w:r>
    </w:p>
    <w:p w:rsidR="00456A92" w:rsidRDefault="00456A92" w:rsidP="00456A92">
      <w:pPr>
        <w:numPr>
          <w:ilvl w:val="1"/>
          <w:numId w:val="1"/>
        </w:numPr>
        <w:spacing w:after="0" w:line="240" w:lineRule="auto"/>
        <w:jc w:val="both"/>
        <w:rPr>
          <w:rFonts w:ascii="Arial" w:hAnsi="Arial" w:cs="Arial"/>
          <w:sz w:val="21"/>
          <w:szCs w:val="21"/>
        </w:rPr>
      </w:pPr>
      <w:r w:rsidRPr="00456A92">
        <w:rPr>
          <w:rFonts w:ascii="Arial" w:hAnsi="Arial" w:cs="Arial"/>
          <w:sz w:val="21"/>
          <w:szCs w:val="21"/>
        </w:rPr>
        <w:t xml:space="preserve">Permitting companies to classify chemicals for hazard building blocks that have not yet been adopted by the economy; </w:t>
      </w:r>
    </w:p>
    <w:p w:rsidR="00456A92" w:rsidRDefault="00456A92" w:rsidP="00456A92">
      <w:pPr>
        <w:numPr>
          <w:ilvl w:val="1"/>
          <w:numId w:val="1"/>
        </w:numPr>
        <w:spacing w:after="0" w:line="240" w:lineRule="auto"/>
        <w:jc w:val="both"/>
        <w:rPr>
          <w:rFonts w:ascii="Arial" w:hAnsi="Arial" w:cs="Arial"/>
          <w:sz w:val="21"/>
          <w:szCs w:val="21"/>
        </w:rPr>
      </w:pPr>
      <w:r w:rsidRPr="00456A92">
        <w:rPr>
          <w:rFonts w:ascii="Arial" w:hAnsi="Arial" w:cs="Arial"/>
          <w:sz w:val="21"/>
          <w:szCs w:val="21"/>
        </w:rPr>
        <w:t>Accepting SDSs and labels based on subsequent as well as currently adopted versions of the UN GHS Purple Book; and</w:t>
      </w:r>
    </w:p>
    <w:p w:rsidR="00456A92" w:rsidRPr="00456A92" w:rsidRDefault="00456A92" w:rsidP="00456A92">
      <w:pPr>
        <w:numPr>
          <w:ilvl w:val="1"/>
          <w:numId w:val="1"/>
        </w:numPr>
        <w:spacing w:after="0" w:line="240" w:lineRule="auto"/>
        <w:jc w:val="both"/>
        <w:rPr>
          <w:rFonts w:ascii="Arial" w:hAnsi="Arial" w:cs="Arial"/>
          <w:sz w:val="21"/>
          <w:szCs w:val="21"/>
        </w:rPr>
      </w:pPr>
      <w:r w:rsidRPr="00456A92">
        <w:rPr>
          <w:rFonts w:ascii="Arial" w:hAnsi="Arial" w:cs="Arial"/>
          <w:sz w:val="21"/>
          <w:szCs w:val="21"/>
        </w:rPr>
        <w:t>Agreeing that any list of GHS classifications for chemicals published at an economy-specific level should be non-mandatory and be published for information purposes only.</w:t>
      </w:r>
    </w:p>
    <w:p w:rsidR="007A4D46" w:rsidRDefault="007A4D46" w:rsidP="00B7441A">
      <w:pPr>
        <w:spacing w:after="0" w:line="240" w:lineRule="auto"/>
        <w:jc w:val="both"/>
        <w:rPr>
          <w:rFonts w:ascii="Arial" w:hAnsi="Arial" w:cs="Arial"/>
          <w:b/>
          <w:iCs/>
          <w:sz w:val="21"/>
          <w:szCs w:val="21"/>
        </w:rPr>
      </w:pPr>
    </w:p>
    <w:p w:rsidR="007A4D46" w:rsidRDefault="007A4D46">
      <w:pPr>
        <w:spacing w:after="160" w:line="259" w:lineRule="auto"/>
        <w:rPr>
          <w:rFonts w:ascii="Arial" w:hAnsi="Arial" w:cs="Arial"/>
          <w:b/>
          <w:iCs/>
          <w:sz w:val="21"/>
          <w:szCs w:val="21"/>
        </w:rPr>
      </w:pPr>
      <w:r>
        <w:rPr>
          <w:rFonts w:ascii="Arial" w:hAnsi="Arial" w:cs="Arial"/>
          <w:b/>
          <w:iCs/>
          <w:sz w:val="21"/>
          <w:szCs w:val="21"/>
        </w:rPr>
        <w:br w:type="page"/>
      </w:r>
    </w:p>
    <w:p w:rsidR="00B7441A" w:rsidRDefault="00B7441A" w:rsidP="00B7441A">
      <w:pPr>
        <w:spacing w:after="0" w:line="240" w:lineRule="auto"/>
        <w:jc w:val="both"/>
        <w:rPr>
          <w:rFonts w:ascii="Arial" w:hAnsi="Arial" w:cs="Arial"/>
          <w:b/>
          <w:iCs/>
          <w:sz w:val="21"/>
          <w:szCs w:val="21"/>
        </w:rPr>
      </w:pPr>
      <w:r>
        <w:rPr>
          <w:rFonts w:ascii="Arial" w:hAnsi="Arial" w:cs="Arial"/>
          <w:b/>
          <w:iCs/>
          <w:sz w:val="21"/>
          <w:szCs w:val="21"/>
        </w:rPr>
        <w:lastRenderedPageBreak/>
        <w:t>BACKGROUND</w:t>
      </w:r>
    </w:p>
    <w:p w:rsidR="00B7441A" w:rsidRPr="001540D3" w:rsidRDefault="00B7441A" w:rsidP="00B7441A">
      <w:pPr>
        <w:spacing w:after="0" w:line="240" w:lineRule="auto"/>
        <w:jc w:val="both"/>
        <w:rPr>
          <w:rFonts w:ascii="Arial" w:hAnsi="Arial" w:cs="Arial"/>
          <w:sz w:val="21"/>
          <w:szCs w:val="21"/>
        </w:rPr>
      </w:pPr>
      <w:r w:rsidRPr="001540D3">
        <w:rPr>
          <w:rFonts w:ascii="Arial" w:hAnsi="Arial" w:cs="Arial"/>
          <w:sz w:val="21"/>
          <w:szCs w:val="21"/>
        </w:rPr>
        <w:t>At the 7</w:t>
      </w:r>
      <w:r w:rsidRPr="001540D3">
        <w:rPr>
          <w:rFonts w:ascii="Arial" w:hAnsi="Arial" w:cs="Arial"/>
          <w:sz w:val="21"/>
          <w:szCs w:val="21"/>
          <w:vertAlign w:val="superscript"/>
        </w:rPr>
        <w:t>th</w:t>
      </w:r>
      <w:r w:rsidRPr="001540D3">
        <w:rPr>
          <w:rFonts w:ascii="Arial" w:hAnsi="Arial" w:cs="Arial"/>
          <w:sz w:val="21"/>
          <w:szCs w:val="21"/>
        </w:rPr>
        <w:t xml:space="preserve"> Chemical Dialogue (CD) meeting in Peru in 2008, the report of the Virtual Working Group on GHS titled</w:t>
      </w:r>
      <w:r w:rsidRPr="001540D3">
        <w:rPr>
          <w:rFonts w:ascii="Arial" w:hAnsi="Arial" w:cs="Arial"/>
          <w:i/>
          <w:sz w:val="21"/>
          <w:szCs w:val="21"/>
        </w:rPr>
        <w:t xml:space="preserve"> “Developing Clarity and Consistency in the Implementation of the Globally Harmonized System for the Classification and Labelling of Chemicals (GHS)” </w:t>
      </w:r>
      <w:r w:rsidRPr="001540D3">
        <w:rPr>
          <w:rFonts w:ascii="Arial" w:hAnsi="Arial" w:cs="Arial"/>
          <w:sz w:val="21"/>
          <w:szCs w:val="21"/>
        </w:rPr>
        <w:t>was endorsed.  This recognized the progress made and difficulties faced by APEC CD Members in their work to implement GHS across the region, and with our trading partners.</w:t>
      </w:r>
    </w:p>
    <w:p w:rsidR="00B7441A" w:rsidRPr="001540D3" w:rsidRDefault="00B7441A" w:rsidP="00B7441A">
      <w:pPr>
        <w:spacing w:after="0" w:line="240" w:lineRule="auto"/>
        <w:jc w:val="both"/>
        <w:rPr>
          <w:rFonts w:ascii="Arial" w:hAnsi="Arial" w:cs="Arial"/>
          <w:sz w:val="21"/>
          <w:szCs w:val="21"/>
        </w:rPr>
      </w:pPr>
    </w:p>
    <w:p w:rsidR="00B7441A" w:rsidRPr="001540D3" w:rsidRDefault="00B7441A" w:rsidP="00B7441A">
      <w:pPr>
        <w:spacing w:after="0" w:line="240" w:lineRule="auto"/>
        <w:jc w:val="both"/>
        <w:rPr>
          <w:rFonts w:ascii="Arial" w:hAnsi="Arial" w:cs="Arial"/>
          <w:sz w:val="21"/>
          <w:szCs w:val="21"/>
        </w:rPr>
      </w:pPr>
      <w:r w:rsidRPr="001540D3">
        <w:rPr>
          <w:rFonts w:ascii="Arial" w:hAnsi="Arial" w:cs="Arial"/>
          <w:sz w:val="21"/>
          <w:szCs w:val="21"/>
        </w:rPr>
        <w:t xml:space="preserve">The Virtual Working Group </w:t>
      </w:r>
      <w:r>
        <w:rPr>
          <w:rFonts w:ascii="Arial" w:hAnsi="Arial" w:cs="Arial"/>
          <w:sz w:val="21"/>
          <w:szCs w:val="21"/>
        </w:rPr>
        <w:t xml:space="preserve">(VWG) </w:t>
      </w:r>
      <w:r w:rsidRPr="001540D3">
        <w:rPr>
          <w:rFonts w:ascii="Arial" w:hAnsi="Arial" w:cs="Arial"/>
          <w:sz w:val="21"/>
          <w:szCs w:val="21"/>
        </w:rPr>
        <w:t>subsequently developed the GHS Implementation Reporting Template to be used for regular reporting of GHS implementation progress.  Input is expected from regulatory authorities and industry in each of the APEC economies.  Information from these reports is to be used to identify issues surrounding GHS implementation for each chemical industry sector (industrial workplace, consumer, agricultural chemical and transport).</w:t>
      </w:r>
    </w:p>
    <w:p w:rsidR="00B7441A" w:rsidRPr="001540D3" w:rsidRDefault="00B7441A" w:rsidP="00B7441A">
      <w:pPr>
        <w:spacing w:after="0" w:line="240" w:lineRule="auto"/>
        <w:jc w:val="both"/>
        <w:rPr>
          <w:rFonts w:ascii="Arial" w:hAnsi="Arial" w:cs="Arial"/>
          <w:sz w:val="21"/>
          <w:szCs w:val="21"/>
        </w:rPr>
      </w:pPr>
    </w:p>
    <w:p w:rsidR="00B7441A" w:rsidRPr="001540D3" w:rsidRDefault="00B7441A" w:rsidP="00B7441A">
      <w:pPr>
        <w:spacing w:after="0" w:line="240" w:lineRule="auto"/>
        <w:jc w:val="both"/>
        <w:rPr>
          <w:rFonts w:ascii="Arial" w:hAnsi="Arial" w:cs="Arial"/>
          <w:sz w:val="21"/>
          <w:szCs w:val="21"/>
        </w:rPr>
      </w:pPr>
      <w:r w:rsidRPr="001540D3">
        <w:rPr>
          <w:rFonts w:ascii="Arial" w:hAnsi="Arial" w:cs="Arial"/>
          <w:sz w:val="21"/>
          <w:szCs w:val="21"/>
        </w:rPr>
        <w:t>Nine APEC CD Economies provided responses in 2008/09 using the GHS Implementation Reporting Template.  Information compiled from the first round of responses was provided to the Trade Ministers highlighting the continuing progress made by the APEC region in</w:t>
      </w:r>
      <w:r>
        <w:rPr>
          <w:rFonts w:ascii="Arial" w:hAnsi="Arial" w:cs="Arial"/>
          <w:sz w:val="21"/>
          <w:szCs w:val="21"/>
        </w:rPr>
        <w:t xml:space="preserve"> implementing GHS</w:t>
      </w:r>
      <w:r w:rsidRPr="001540D3">
        <w:rPr>
          <w:rFonts w:ascii="Arial" w:hAnsi="Arial" w:cs="Arial"/>
          <w:sz w:val="21"/>
          <w:szCs w:val="21"/>
        </w:rPr>
        <w:t xml:space="preserve"> and the difficulties surrounding some aspects of implementation including continued revision of GHS at the UN level, lack of uniformity in implementation of GHS and </w:t>
      </w:r>
      <w:r>
        <w:rPr>
          <w:rFonts w:ascii="Arial" w:hAnsi="Arial" w:cs="Arial"/>
          <w:sz w:val="21"/>
          <w:szCs w:val="21"/>
        </w:rPr>
        <w:t>the need for capacity building.</w:t>
      </w:r>
    </w:p>
    <w:p w:rsidR="00B7441A" w:rsidRPr="001540D3" w:rsidRDefault="00B7441A" w:rsidP="00B7441A">
      <w:pPr>
        <w:spacing w:after="0" w:line="240" w:lineRule="auto"/>
        <w:jc w:val="both"/>
        <w:rPr>
          <w:rFonts w:ascii="Arial" w:hAnsi="Arial" w:cs="Arial"/>
          <w:sz w:val="21"/>
          <w:szCs w:val="21"/>
        </w:rPr>
      </w:pPr>
    </w:p>
    <w:p w:rsidR="00B7441A" w:rsidRPr="005A5C86" w:rsidRDefault="00B7441A" w:rsidP="00B7441A">
      <w:pPr>
        <w:spacing w:after="0" w:line="240" w:lineRule="auto"/>
        <w:jc w:val="both"/>
        <w:rPr>
          <w:rFonts w:ascii="Arial" w:hAnsi="Arial" w:cs="Arial"/>
          <w:bCs/>
          <w:sz w:val="21"/>
          <w:szCs w:val="21"/>
        </w:rPr>
      </w:pPr>
      <w:r w:rsidRPr="005A5C86">
        <w:rPr>
          <w:rFonts w:ascii="Arial" w:hAnsi="Arial" w:cs="Arial"/>
          <w:sz w:val="21"/>
          <w:szCs w:val="21"/>
        </w:rPr>
        <w:t xml:space="preserve">Participating economies noted the positive outcomes by completing the template, indicating that certain details of GHS implementation that were not being considered were brought to the fore, and potential issues arising from GHS implementation that would not otherwise have been considered until post-implementation were able to be discussed.  The APEC CD </w:t>
      </w:r>
      <w:r w:rsidR="007548F5">
        <w:rPr>
          <w:rFonts w:ascii="Arial" w:hAnsi="Arial" w:cs="Arial"/>
          <w:sz w:val="21"/>
          <w:szCs w:val="21"/>
        </w:rPr>
        <w:t>is required to provide an annual GHS implementation status report to Trade Ministers.</w:t>
      </w:r>
      <w:r w:rsidRPr="005A5C86">
        <w:rPr>
          <w:rFonts w:ascii="Arial" w:hAnsi="Arial" w:cs="Arial"/>
          <w:bCs/>
          <w:sz w:val="21"/>
          <w:szCs w:val="21"/>
        </w:rPr>
        <w:t>  </w:t>
      </w:r>
    </w:p>
    <w:p w:rsidR="00B7441A" w:rsidRPr="005A5C86" w:rsidRDefault="00B7441A" w:rsidP="00B7441A">
      <w:pPr>
        <w:spacing w:after="0" w:line="240" w:lineRule="auto"/>
        <w:jc w:val="both"/>
        <w:rPr>
          <w:rFonts w:ascii="Arial" w:hAnsi="Arial" w:cs="Arial"/>
          <w:bCs/>
          <w:sz w:val="21"/>
          <w:szCs w:val="21"/>
        </w:rPr>
      </w:pPr>
    </w:p>
    <w:p w:rsidR="00B7441A" w:rsidRDefault="00B7441A" w:rsidP="00B7441A">
      <w:pPr>
        <w:pStyle w:val="ListParagraph"/>
        <w:ind w:left="0"/>
        <w:jc w:val="both"/>
        <w:rPr>
          <w:rFonts w:ascii="Arial" w:hAnsi="Arial" w:cs="Arial"/>
          <w:bCs/>
          <w:sz w:val="21"/>
          <w:szCs w:val="21"/>
        </w:rPr>
      </w:pPr>
      <w:r w:rsidRPr="005A5C86">
        <w:rPr>
          <w:rFonts w:ascii="Arial" w:hAnsi="Arial" w:cs="Arial"/>
          <w:bCs/>
          <w:sz w:val="21"/>
          <w:szCs w:val="21"/>
        </w:rPr>
        <w:t>At the 13</w:t>
      </w:r>
      <w:r w:rsidRPr="005A5C86">
        <w:rPr>
          <w:rFonts w:ascii="Arial" w:hAnsi="Arial" w:cs="Arial"/>
          <w:bCs/>
          <w:sz w:val="21"/>
          <w:szCs w:val="21"/>
          <w:vertAlign w:val="superscript"/>
        </w:rPr>
        <w:t>th</w:t>
      </w:r>
      <w:r w:rsidRPr="005A5C86">
        <w:rPr>
          <w:rFonts w:ascii="Arial" w:hAnsi="Arial" w:cs="Arial"/>
          <w:bCs/>
          <w:sz w:val="21"/>
          <w:szCs w:val="21"/>
        </w:rPr>
        <w:t xml:space="preserve"> CD meeting in </w:t>
      </w:r>
      <w:r>
        <w:rPr>
          <w:rFonts w:ascii="Arial" w:hAnsi="Arial" w:cs="Arial"/>
          <w:bCs/>
          <w:sz w:val="21"/>
          <w:szCs w:val="21"/>
        </w:rPr>
        <w:t>China</w:t>
      </w:r>
      <w:r w:rsidRPr="005A5C86">
        <w:rPr>
          <w:rFonts w:ascii="Arial" w:hAnsi="Arial" w:cs="Arial"/>
          <w:bCs/>
          <w:sz w:val="21"/>
          <w:szCs w:val="21"/>
        </w:rPr>
        <w:t xml:space="preserve"> in </w:t>
      </w:r>
      <w:r>
        <w:rPr>
          <w:rFonts w:ascii="Arial" w:hAnsi="Arial" w:cs="Arial"/>
          <w:bCs/>
          <w:sz w:val="21"/>
          <w:szCs w:val="21"/>
        </w:rPr>
        <w:t xml:space="preserve">August </w:t>
      </w:r>
      <w:r w:rsidRPr="005A5C86">
        <w:rPr>
          <w:rFonts w:ascii="Arial" w:hAnsi="Arial" w:cs="Arial"/>
          <w:bCs/>
          <w:sz w:val="21"/>
          <w:szCs w:val="21"/>
        </w:rPr>
        <w:t>2014, the CD agreed to trial the Smart</w:t>
      </w:r>
      <w:r w:rsidR="00A72420">
        <w:rPr>
          <w:rFonts w:ascii="Arial" w:hAnsi="Arial" w:cs="Arial"/>
          <w:bCs/>
          <w:sz w:val="21"/>
          <w:szCs w:val="21"/>
        </w:rPr>
        <w:t xml:space="preserve"> </w:t>
      </w:r>
      <w:r w:rsidRPr="005A5C86">
        <w:rPr>
          <w:rFonts w:ascii="Arial" w:hAnsi="Arial" w:cs="Arial"/>
          <w:bCs/>
          <w:sz w:val="21"/>
          <w:szCs w:val="21"/>
        </w:rPr>
        <w:t xml:space="preserve">Form that </w:t>
      </w:r>
      <w:r>
        <w:rPr>
          <w:rFonts w:ascii="Arial" w:hAnsi="Arial" w:cs="Arial"/>
          <w:bCs/>
          <w:sz w:val="21"/>
          <w:szCs w:val="21"/>
        </w:rPr>
        <w:t>was</w:t>
      </w:r>
      <w:r w:rsidR="001F5F43">
        <w:rPr>
          <w:rFonts w:ascii="Arial" w:hAnsi="Arial" w:cs="Arial"/>
          <w:bCs/>
          <w:sz w:val="21"/>
          <w:szCs w:val="21"/>
        </w:rPr>
        <w:t xml:space="preserve"> </w:t>
      </w:r>
      <w:r w:rsidRPr="005A5C86">
        <w:rPr>
          <w:rFonts w:ascii="Arial" w:hAnsi="Arial" w:cs="Arial"/>
          <w:bCs/>
          <w:sz w:val="21"/>
          <w:szCs w:val="21"/>
        </w:rPr>
        <w:t>developed by Australia to allow electronic submi</w:t>
      </w:r>
      <w:r w:rsidR="00A72420">
        <w:rPr>
          <w:rFonts w:ascii="Arial" w:hAnsi="Arial" w:cs="Arial"/>
          <w:bCs/>
          <w:sz w:val="21"/>
          <w:szCs w:val="21"/>
        </w:rPr>
        <w:t>ssion of the GHS implementation</w:t>
      </w:r>
      <w:r w:rsidRPr="005A5C86">
        <w:rPr>
          <w:rFonts w:ascii="Arial" w:hAnsi="Arial" w:cs="Arial"/>
          <w:bCs/>
          <w:sz w:val="21"/>
          <w:szCs w:val="21"/>
        </w:rPr>
        <w:t xml:space="preserve"> reports by the APEC Economies.  </w:t>
      </w:r>
    </w:p>
    <w:p w:rsidR="00B7441A" w:rsidRDefault="00B7441A" w:rsidP="00B7441A">
      <w:pPr>
        <w:pStyle w:val="ListParagraph"/>
        <w:ind w:left="0"/>
        <w:jc w:val="both"/>
        <w:rPr>
          <w:rFonts w:ascii="Arial" w:hAnsi="Arial" w:cs="Arial"/>
          <w:bCs/>
          <w:sz w:val="21"/>
          <w:szCs w:val="21"/>
        </w:rPr>
      </w:pPr>
    </w:p>
    <w:p w:rsidR="00B7441A" w:rsidRDefault="00B7441A" w:rsidP="00B7441A">
      <w:pPr>
        <w:spacing w:after="0" w:line="240" w:lineRule="auto"/>
        <w:jc w:val="both"/>
        <w:rPr>
          <w:rFonts w:ascii="Arial" w:hAnsi="Arial" w:cs="Arial"/>
          <w:bCs/>
          <w:sz w:val="21"/>
          <w:szCs w:val="21"/>
        </w:rPr>
      </w:pPr>
      <w:r>
        <w:rPr>
          <w:rFonts w:ascii="Arial" w:hAnsi="Arial" w:cs="Arial"/>
          <w:bCs/>
          <w:sz w:val="21"/>
          <w:szCs w:val="21"/>
        </w:rPr>
        <w:t>At the 16</w:t>
      </w:r>
      <w:r w:rsidRPr="001E20A8">
        <w:rPr>
          <w:rFonts w:ascii="Arial" w:hAnsi="Arial" w:cs="Arial"/>
          <w:bCs/>
          <w:sz w:val="21"/>
          <w:szCs w:val="21"/>
          <w:vertAlign w:val="superscript"/>
        </w:rPr>
        <w:t>th</w:t>
      </w:r>
      <w:r>
        <w:rPr>
          <w:rFonts w:ascii="Arial" w:hAnsi="Arial" w:cs="Arial"/>
          <w:bCs/>
          <w:sz w:val="21"/>
          <w:szCs w:val="21"/>
        </w:rPr>
        <w:t xml:space="preserve"> CD meeting in Peru in February 2016, the CD agreed to a new timeline for annual GHS Implementation Status Reports in order to better align with the annual reporting cycle to Trade Ministers.  The CD agreed to finalise the seventh GHS Implementation Status Report by 22 April 2016 and begin work on the eighth status report from post CD SOM 3 meeting in 2016.</w:t>
      </w:r>
    </w:p>
    <w:p w:rsidR="00B7441A" w:rsidRDefault="00B7441A" w:rsidP="00B7441A">
      <w:pPr>
        <w:spacing w:after="0" w:line="240" w:lineRule="auto"/>
        <w:jc w:val="both"/>
        <w:rPr>
          <w:rFonts w:ascii="Arial" w:hAnsi="Arial" w:cs="Arial"/>
          <w:bCs/>
          <w:sz w:val="21"/>
          <w:szCs w:val="21"/>
        </w:rPr>
      </w:pPr>
    </w:p>
    <w:p w:rsidR="00B7441A" w:rsidRDefault="00B7441A" w:rsidP="00B7441A">
      <w:pPr>
        <w:spacing w:after="0" w:line="240" w:lineRule="auto"/>
        <w:jc w:val="both"/>
        <w:rPr>
          <w:rFonts w:ascii="Arial" w:hAnsi="Arial" w:cs="Arial"/>
          <w:bCs/>
          <w:sz w:val="21"/>
          <w:szCs w:val="21"/>
        </w:rPr>
      </w:pPr>
      <w:r>
        <w:rPr>
          <w:rFonts w:ascii="Arial" w:hAnsi="Arial" w:cs="Arial"/>
          <w:bCs/>
          <w:sz w:val="21"/>
          <w:szCs w:val="21"/>
        </w:rPr>
        <w:t xml:space="preserve">In addition, the CD agreed to </w:t>
      </w:r>
      <w:r w:rsidR="007548F5">
        <w:rPr>
          <w:rFonts w:ascii="Arial" w:hAnsi="Arial" w:cs="Arial"/>
          <w:bCs/>
          <w:sz w:val="21"/>
          <w:szCs w:val="21"/>
        </w:rPr>
        <w:t xml:space="preserve">use the </w:t>
      </w:r>
      <w:r>
        <w:rPr>
          <w:rFonts w:ascii="Arial" w:hAnsi="Arial" w:cs="Arial"/>
          <w:bCs/>
          <w:sz w:val="21"/>
          <w:szCs w:val="21"/>
        </w:rPr>
        <w:t>Smart Form only for reporting from the eighth GHS Implementation Status Report.  A User Guide for the Smart Form is to be provided prior to this time (Action item 3.C.iii, CD16).</w:t>
      </w:r>
    </w:p>
    <w:p w:rsidR="00B7441A" w:rsidRDefault="00B7441A" w:rsidP="00B7441A">
      <w:pPr>
        <w:spacing w:after="0" w:line="240" w:lineRule="auto"/>
        <w:jc w:val="both"/>
        <w:rPr>
          <w:rFonts w:ascii="Arial" w:hAnsi="Arial" w:cs="Arial"/>
          <w:bCs/>
          <w:sz w:val="21"/>
          <w:szCs w:val="21"/>
        </w:rPr>
      </w:pPr>
    </w:p>
    <w:p w:rsidR="00B7441A" w:rsidRPr="00133F00" w:rsidRDefault="00B7441A" w:rsidP="00B7441A">
      <w:pPr>
        <w:spacing w:after="0" w:line="240" w:lineRule="auto"/>
        <w:jc w:val="both"/>
        <w:rPr>
          <w:rFonts w:ascii="Arial" w:hAnsi="Arial" w:cs="Arial"/>
          <w:b/>
          <w:bCs/>
          <w:sz w:val="21"/>
          <w:szCs w:val="21"/>
        </w:rPr>
      </w:pPr>
      <w:r w:rsidRPr="00133F00">
        <w:rPr>
          <w:rFonts w:ascii="Arial" w:hAnsi="Arial" w:cs="Arial"/>
          <w:b/>
          <w:bCs/>
          <w:sz w:val="21"/>
          <w:szCs w:val="21"/>
        </w:rPr>
        <w:t>PROGRESS REPORT</w:t>
      </w:r>
    </w:p>
    <w:p w:rsidR="00B7441A" w:rsidRDefault="00B7441A" w:rsidP="00B7441A">
      <w:pPr>
        <w:spacing w:after="0" w:line="240" w:lineRule="auto"/>
        <w:jc w:val="both"/>
        <w:rPr>
          <w:rFonts w:ascii="Arial" w:hAnsi="Arial" w:cs="Arial"/>
          <w:bCs/>
          <w:sz w:val="21"/>
          <w:szCs w:val="21"/>
        </w:rPr>
      </w:pPr>
      <w:r>
        <w:rPr>
          <w:rFonts w:ascii="Arial" w:hAnsi="Arial" w:cs="Arial"/>
          <w:bCs/>
          <w:sz w:val="21"/>
          <w:szCs w:val="21"/>
        </w:rPr>
        <w:t>This 2016 report is the seventh progress report of GHS implementation by APEC economies.</w:t>
      </w:r>
    </w:p>
    <w:p w:rsidR="00B7441A" w:rsidRDefault="00B7441A" w:rsidP="00B7441A">
      <w:pPr>
        <w:spacing w:after="0" w:line="240" w:lineRule="auto"/>
        <w:jc w:val="both"/>
        <w:rPr>
          <w:rFonts w:ascii="Arial" w:hAnsi="Arial" w:cs="Arial"/>
          <w:bCs/>
          <w:sz w:val="21"/>
          <w:szCs w:val="21"/>
        </w:rPr>
      </w:pPr>
    </w:p>
    <w:p w:rsidR="00B7441A" w:rsidRDefault="0032737A" w:rsidP="00B7441A">
      <w:pPr>
        <w:spacing w:after="0" w:line="240" w:lineRule="auto"/>
        <w:jc w:val="both"/>
        <w:rPr>
          <w:rFonts w:ascii="Arial" w:hAnsi="Arial" w:cs="Arial"/>
          <w:bCs/>
          <w:sz w:val="21"/>
          <w:szCs w:val="21"/>
        </w:rPr>
      </w:pPr>
      <w:r>
        <w:rPr>
          <w:rFonts w:ascii="Arial" w:hAnsi="Arial" w:cs="Arial"/>
          <w:bCs/>
          <w:sz w:val="21"/>
          <w:szCs w:val="21"/>
        </w:rPr>
        <w:t>Of the 21 Member economies, t</w:t>
      </w:r>
      <w:r w:rsidR="00B7441A">
        <w:rPr>
          <w:rFonts w:ascii="Arial" w:hAnsi="Arial" w:cs="Arial"/>
          <w:bCs/>
          <w:sz w:val="21"/>
          <w:szCs w:val="21"/>
        </w:rPr>
        <w:t xml:space="preserve">he following is a table of </w:t>
      </w:r>
      <w:r>
        <w:rPr>
          <w:rFonts w:ascii="Arial" w:hAnsi="Arial" w:cs="Arial"/>
          <w:bCs/>
          <w:sz w:val="21"/>
          <w:szCs w:val="21"/>
        </w:rPr>
        <w:t xml:space="preserve">those </w:t>
      </w:r>
      <w:r w:rsidR="00B7441A">
        <w:rPr>
          <w:rFonts w:ascii="Arial" w:hAnsi="Arial" w:cs="Arial"/>
          <w:bCs/>
          <w:sz w:val="21"/>
          <w:szCs w:val="21"/>
        </w:rPr>
        <w:t>economies that have contributed to the GHS implementation report by completing the reporting template over time.</w:t>
      </w:r>
    </w:p>
    <w:p w:rsidR="00B7441A" w:rsidRDefault="00B7441A" w:rsidP="00B7441A">
      <w:pPr>
        <w:spacing w:after="0" w:line="240" w:lineRule="auto"/>
        <w:jc w:val="both"/>
        <w:rPr>
          <w:rFonts w:ascii="Arial" w:hAnsi="Arial" w:cs="Arial"/>
          <w:bCs/>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012"/>
        <w:gridCol w:w="1012"/>
        <w:gridCol w:w="1013"/>
        <w:gridCol w:w="1012"/>
        <w:gridCol w:w="1013"/>
        <w:gridCol w:w="1012"/>
        <w:gridCol w:w="1013"/>
      </w:tblGrid>
      <w:tr w:rsidR="00B7441A" w:rsidRPr="00AB5CA1" w:rsidTr="007548F5">
        <w:trPr>
          <w:tblHeader/>
        </w:trPr>
        <w:tc>
          <w:tcPr>
            <w:tcW w:w="1985"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t>2008/09</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t>2010/11</w:t>
            </w: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t>2012</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t>2013</w:t>
            </w:r>
          </w:p>
        </w:tc>
        <w:tc>
          <w:tcPr>
            <w:tcW w:w="1013" w:type="dxa"/>
          </w:tcPr>
          <w:p w:rsidR="00B7441A" w:rsidRPr="00AB5CA1" w:rsidRDefault="00B7441A" w:rsidP="00466E06">
            <w:pPr>
              <w:spacing w:after="0" w:line="240" w:lineRule="auto"/>
              <w:jc w:val="center"/>
              <w:rPr>
                <w:rFonts w:ascii="Arial" w:hAnsi="Arial" w:cs="Arial"/>
                <w:bCs/>
                <w:sz w:val="21"/>
                <w:szCs w:val="21"/>
              </w:rPr>
            </w:pPr>
            <w:r>
              <w:rPr>
                <w:rFonts w:ascii="Arial" w:hAnsi="Arial" w:cs="Arial"/>
                <w:bCs/>
                <w:sz w:val="21"/>
                <w:szCs w:val="21"/>
              </w:rPr>
              <w:t>2014</w:t>
            </w:r>
          </w:p>
        </w:tc>
        <w:tc>
          <w:tcPr>
            <w:tcW w:w="1012" w:type="dxa"/>
          </w:tcPr>
          <w:p w:rsidR="00B7441A" w:rsidRDefault="00B7441A" w:rsidP="00466E06">
            <w:pPr>
              <w:spacing w:after="0" w:line="240" w:lineRule="auto"/>
              <w:jc w:val="center"/>
              <w:rPr>
                <w:rFonts w:ascii="Arial" w:hAnsi="Arial" w:cs="Arial"/>
                <w:bCs/>
                <w:sz w:val="21"/>
                <w:szCs w:val="21"/>
              </w:rPr>
            </w:pPr>
            <w:r>
              <w:rPr>
                <w:rFonts w:ascii="Arial" w:hAnsi="Arial" w:cs="Arial"/>
                <w:bCs/>
                <w:sz w:val="21"/>
                <w:szCs w:val="21"/>
              </w:rPr>
              <w:t>2015</w:t>
            </w:r>
          </w:p>
        </w:tc>
        <w:tc>
          <w:tcPr>
            <w:tcW w:w="1013" w:type="dxa"/>
          </w:tcPr>
          <w:p w:rsidR="00B7441A" w:rsidRDefault="00B7441A" w:rsidP="00466E06">
            <w:pPr>
              <w:spacing w:after="0" w:line="240" w:lineRule="auto"/>
              <w:jc w:val="center"/>
              <w:rPr>
                <w:rFonts w:ascii="Arial" w:hAnsi="Arial" w:cs="Arial"/>
                <w:bCs/>
                <w:sz w:val="21"/>
                <w:szCs w:val="21"/>
              </w:rPr>
            </w:pPr>
            <w:r>
              <w:rPr>
                <w:rFonts w:ascii="Arial" w:hAnsi="Arial" w:cs="Arial"/>
                <w:bCs/>
                <w:sz w:val="21"/>
                <w:szCs w:val="21"/>
              </w:rPr>
              <w:t>2016</w:t>
            </w:r>
          </w:p>
        </w:tc>
      </w:tr>
      <w:tr w:rsidR="00B7441A" w:rsidRPr="00AB5CA1" w:rsidTr="007548F5">
        <w:tc>
          <w:tcPr>
            <w:tcW w:w="1985" w:type="dxa"/>
            <w:shd w:val="clear" w:color="auto" w:fill="auto"/>
          </w:tcPr>
          <w:p w:rsidR="00B7441A" w:rsidRPr="00AB5CA1" w:rsidRDefault="00B7441A" w:rsidP="00466E06">
            <w:pPr>
              <w:spacing w:after="0" w:line="240" w:lineRule="auto"/>
              <w:jc w:val="both"/>
              <w:rPr>
                <w:rFonts w:ascii="Arial" w:hAnsi="Arial" w:cs="Arial"/>
                <w:bCs/>
                <w:sz w:val="21"/>
                <w:szCs w:val="21"/>
              </w:rPr>
            </w:pPr>
            <w:r w:rsidRPr="00AB5CA1">
              <w:rPr>
                <w:rFonts w:ascii="Arial" w:hAnsi="Arial" w:cs="Arial"/>
                <w:bCs/>
                <w:sz w:val="21"/>
                <w:szCs w:val="21"/>
              </w:rPr>
              <w:t>Australia</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r>
      <w:tr w:rsidR="001F5F43" w:rsidRPr="00AB5CA1" w:rsidTr="007548F5">
        <w:tc>
          <w:tcPr>
            <w:tcW w:w="1985" w:type="dxa"/>
            <w:shd w:val="clear" w:color="auto" w:fill="auto"/>
          </w:tcPr>
          <w:p w:rsidR="001F5F43" w:rsidRPr="00AB5CA1" w:rsidRDefault="001F5F43" w:rsidP="00466E06">
            <w:pPr>
              <w:spacing w:after="0" w:line="240" w:lineRule="auto"/>
              <w:jc w:val="both"/>
              <w:rPr>
                <w:rFonts w:ascii="Arial" w:hAnsi="Arial" w:cs="Arial"/>
                <w:bCs/>
                <w:sz w:val="21"/>
                <w:szCs w:val="21"/>
              </w:rPr>
            </w:pPr>
            <w:r>
              <w:rPr>
                <w:rFonts w:ascii="Arial" w:hAnsi="Arial" w:cs="Arial"/>
                <w:bCs/>
                <w:sz w:val="21"/>
                <w:szCs w:val="21"/>
              </w:rPr>
              <w:t>Canada</w:t>
            </w:r>
          </w:p>
        </w:tc>
        <w:tc>
          <w:tcPr>
            <w:tcW w:w="1012" w:type="dxa"/>
            <w:shd w:val="clear" w:color="auto" w:fill="auto"/>
          </w:tcPr>
          <w:p w:rsidR="001F5F43" w:rsidRPr="00AB5CA1" w:rsidRDefault="001F5F43" w:rsidP="00466E06">
            <w:pPr>
              <w:spacing w:after="0" w:line="240" w:lineRule="auto"/>
              <w:jc w:val="center"/>
              <w:rPr>
                <w:rFonts w:ascii="Arial" w:hAnsi="Arial" w:cs="Arial"/>
                <w:bCs/>
                <w:sz w:val="21"/>
                <w:szCs w:val="21"/>
              </w:rPr>
            </w:pPr>
          </w:p>
        </w:tc>
        <w:tc>
          <w:tcPr>
            <w:tcW w:w="1012" w:type="dxa"/>
            <w:shd w:val="clear" w:color="auto" w:fill="auto"/>
          </w:tcPr>
          <w:p w:rsidR="001F5F43" w:rsidRPr="00AB5CA1" w:rsidRDefault="001F5F43" w:rsidP="00466E06">
            <w:pPr>
              <w:spacing w:after="0" w:line="240" w:lineRule="auto"/>
              <w:jc w:val="center"/>
              <w:rPr>
                <w:rFonts w:ascii="Arial" w:hAnsi="Arial" w:cs="Arial"/>
                <w:bCs/>
                <w:sz w:val="21"/>
                <w:szCs w:val="21"/>
              </w:rPr>
            </w:pPr>
          </w:p>
        </w:tc>
        <w:tc>
          <w:tcPr>
            <w:tcW w:w="1013" w:type="dxa"/>
            <w:shd w:val="clear" w:color="auto" w:fill="auto"/>
          </w:tcPr>
          <w:p w:rsidR="001F5F43" w:rsidRPr="00AB5CA1" w:rsidRDefault="001F5F43" w:rsidP="00466E06">
            <w:pPr>
              <w:spacing w:after="0" w:line="240" w:lineRule="auto"/>
              <w:jc w:val="center"/>
              <w:rPr>
                <w:rFonts w:ascii="Arial" w:hAnsi="Arial" w:cs="Arial"/>
                <w:bCs/>
                <w:sz w:val="21"/>
                <w:szCs w:val="21"/>
              </w:rPr>
            </w:pPr>
          </w:p>
        </w:tc>
        <w:tc>
          <w:tcPr>
            <w:tcW w:w="1012" w:type="dxa"/>
            <w:shd w:val="clear" w:color="auto" w:fill="auto"/>
          </w:tcPr>
          <w:p w:rsidR="001F5F43" w:rsidRPr="00AB5CA1" w:rsidRDefault="001F5F43" w:rsidP="00466E06">
            <w:pPr>
              <w:spacing w:after="0" w:line="240" w:lineRule="auto"/>
              <w:jc w:val="center"/>
              <w:rPr>
                <w:rFonts w:ascii="Arial" w:hAnsi="Arial" w:cs="Arial"/>
                <w:bCs/>
                <w:sz w:val="21"/>
                <w:szCs w:val="21"/>
              </w:rPr>
            </w:pPr>
          </w:p>
        </w:tc>
        <w:tc>
          <w:tcPr>
            <w:tcW w:w="1013" w:type="dxa"/>
          </w:tcPr>
          <w:p w:rsidR="001F5F43" w:rsidRPr="00AB5CA1" w:rsidRDefault="001F5F43" w:rsidP="00466E06">
            <w:pPr>
              <w:spacing w:after="0" w:line="240" w:lineRule="auto"/>
              <w:jc w:val="center"/>
              <w:rPr>
                <w:rFonts w:ascii="Arial" w:hAnsi="Arial" w:cs="Arial"/>
                <w:bCs/>
                <w:sz w:val="21"/>
                <w:szCs w:val="21"/>
              </w:rPr>
            </w:pPr>
          </w:p>
        </w:tc>
        <w:tc>
          <w:tcPr>
            <w:tcW w:w="1012" w:type="dxa"/>
          </w:tcPr>
          <w:p w:rsidR="001F5F43" w:rsidRPr="00AB5CA1" w:rsidRDefault="001F5F43" w:rsidP="00466E06">
            <w:pPr>
              <w:spacing w:after="0" w:line="240" w:lineRule="auto"/>
              <w:jc w:val="center"/>
              <w:rPr>
                <w:rFonts w:ascii="Arial" w:hAnsi="Arial" w:cs="Arial"/>
                <w:bCs/>
                <w:sz w:val="21"/>
                <w:szCs w:val="21"/>
              </w:rPr>
            </w:pPr>
          </w:p>
        </w:tc>
        <w:tc>
          <w:tcPr>
            <w:tcW w:w="1013" w:type="dxa"/>
          </w:tcPr>
          <w:p w:rsidR="001F5F43" w:rsidRPr="00AB5CA1" w:rsidRDefault="001F5F43"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r>
      <w:tr w:rsidR="00B7441A" w:rsidRPr="00AB5CA1" w:rsidTr="007548F5">
        <w:tc>
          <w:tcPr>
            <w:tcW w:w="1985" w:type="dxa"/>
            <w:shd w:val="clear" w:color="auto" w:fill="auto"/>
          </w:tcPr>
          <w:p w:rsidR="00B7441A" w:rsidRPr="00AB5CA1" w:rsidRDefault="00B7441A" w:rsidP="00466E06">
            <w:pPr>
              <w:spacing w:after="0" w:line="240" w:lineRule="auto"/>
              <w:jc w:val="both"/>
              <w:rPr>
                <w:rFonts w:ascii="Arial" w:hAnsi="Arial" w:cs="Arial"/>
                <w:bCs/>
                <w:sz w:val="21"/>
                <w:szCs w:val="21"/>
              </w:rPr>
            </w:pPr>
            <w:r w:rsidRPr="00AB5CA1">
              <w:rPr>
                <w:rFonts w:ascii="Arial" w:hAnsi="Arial" w:cs="Arial"/>
                <w:bCs/>
                <w:sz w:val="21"/>
                <w:szCs w:val="21"/>
              </w:rPr>
              <w:t>Chile</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B7441A" w:rsidP="00466E06">
            <w:pPr>
              <w:spacing w:after="0" w:line="240" w:lineRule="auto"/>
              <w:jc w:val="center"/>
              <w:rPr>
                <w:rFonts w:ascii="Arial" w:hAnsi="Arial" w:cs="Arial"/>
                <w:bCs/>
                <w:sz w:val="21"/>
                <w:szCs w:val="21"/>
              </w:rPr>
            </w:pPr>
          </w:p>
        </w:tc>
      </w:tr>
      <w:tr w:rsidR="00B7441A" w:rsidRPr="00AB5CA1" w:rsidTr="007548F5">
        <w:tc>
          <w:tcPr>
            <w:tcW w:w="1985" w:type="dxa"/>
            <w:shd w:val="clear" w:color="auto" w:fill="auto"/>
          </w:tcPr>
          <w:p w:rsidR="00B7441A" w:rsidRPr="00AB5CA1" w:rsidRDefault="00B7441A" w:rsidP="00466E06">
            <w:pPr>
              <w:spacing w:after="0" w:line="240" w:lineRule="auto"/>
              <w:jc w:val="both"/>
              <w:rPr>
                <w:rFonts w:ascii="Arial" w:hAnsi="Arial" w:cs="Arial"/>
                <w:bCs/>
                <w:sz w:val="21"/>
                <w:szCs w:val="21"/>
              </w:rPr>
            </w:pPr>
            <w:r w:rsidRPr="00AB5CA1">
              <w:rPr>
                <w:rFonts w:ascii="Arial" w:hAnsi="Arial" w:cs="Arial"/>
                <w:bCs/>
                <w:sz w:val="21"/>
                <w:szCs w:val="21"/>
              </w:rPr>
              <w:t>Chinese Taipei</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B7441A" w:rsidRPr="00AB5CA1" w:rsidRDefault="00B7441A" w:rsidP="00466E06">
            <w:pPr>
              <w:spacing w:after="0" w:line="240" w:lineRule="auto"/>
              <w:jc w:val="center"/>
              <w:rPr>
                <w:rFonts w:ascii="Arial" w:hAnsi="Arial" w:cs="Arial"/>
                <w:bCs/>
                <w:sz w:val="21"/>
                <w:szCs w:val="21"/>
              </w:rPr>
            </w:pPr>
          </w:p>
        </w:tc>
        <w:tc>
          <w:tcPr>
            <w:tcW w:w="1012" w:type="dxa"/>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r>
      <w:tr w:rsidR="00B7441A" w:rsidRPr="00AB5CA1" w:rsidTr="007548F5">
        <w:tc>
          <w:tcPr>
            <w:tcW w:w="1985" w:type="dxa"/>
            <w:shd w:val="clear" w:color="auto" w:fill="auto"/>
          </w:tcPr>
          <w:p w:rsidR="00B7441A" w:rsidRPr="00AB5CA1" w:rsidRDefault="00B7441A" w:rsidP="00466E06">
            <w:pPr>
              <w:spacing w:after="0" w:line="240" w:lineRule="auto"/>
              <w:jc w:val="both"/>
              <w:rPr>
                <w:rFonts w:ascii="Arial" w:hAnsi="Arial" w:cs="Arial"/>
                <w:bCs/>
                <w:sz w:val="21"/>
                <w:szCs w:val="21"/>
              </w:rPr>
            </w:pPr>
            <w:r w:rsidRPr="00AB5CA1">
              <w:rPr>
                <w:rFonts w:ascii="Arial" w:hAnsi="Arial" w:cs="Arial"/>
                <w:bCs/>
                <w:sz w:val="21"/>
                <w:szCs w:val="21"/>
              </w:rPr>
              <w:t>Hong Kong, China</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B7441A" w:rsidRPr="00AB5CA1" w:rsidRDefault="00B7441A" w:rsidP="00466E06">
            <w:pPr>
              <w:spacing w:after="0" w:line="240" w:lineRule="auto"/>
              <w:jc w:val="center"/>
              <w:rPr>
                <w:rFonts w:ascii="Arial" w:hAnsi="Arial" w:cs="Arial"/>
                <w:bCs/>
                <w:sz w:val="21"/>
                <w:szCs w:val="21"/>
              </w:rPr>
            </w:pPr>
          </w:p>
        </w:tc>
        <w:tc>
          <w:tcPr>
            <w:tcW w:w="1012"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r>
      <w:tr w:rsidR="00B7441A" w:rsidRPr="00AB5CA1" w:rsidTr="007548F5">
        <w:tc>
          <w:tcPr>
            <w:tcW w:w="1985" w:type="dxa"/>
            <w:shd w:val="clear" w:color="auto" w:fill="auto"/>
          </w:tcPr>
          <w:p w:rsidR="00B7441A" w:rsidRPr="00AB5CA1" w:rsidRDefault="00B7441A" w:rsidP="00466E06">
            <w:pPr>
              <w:spacing w:after="0" w:line="240" w:lineRule="auto"/>
              <w:jc w:val="both"/>
              <w:rPr>
                <w:rFonts w:ascii="Arial" w:hAnsi="Arial" w:cs="Arial"/>
                <w:bCs/>
                <w:sz w:val="21"/>
                <w:szCs w:val="21"/>
              </w:rPr>
            </w:pPr>
            <w:r w:rsidRPr="00AB5CA1">
              <w:rPr>
                <w:rFonts w:ascii="Arial" w:hAnsi="Arial" w:cs="Arial"/>
                <w:bCs/>
                <w:sz w:val="21"/>
                <w:szCs w:val="21"/>
              </w:rPr>
              <w:t>Indonesia</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1F5F43"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r w:rsidRPr="00B519E8">
              <w:rPr>
                <w:rFonts w:ascii="Arial" w:hAnsi="Arial" w:cs="Arial"/>
                <w:bCs/>
                <w:sz w:val="18"/>
                <w:szCs w:val="18"/>
                <w:vertAlign w:val="superscript"/>
              </w:rPr>
              <w:t>#</w:t>
            </w:r>
          </w:p>
        </w:tc>
      </w:tr>
      <w:tr w:rsidR="00B7441A" w:rsidRPr="00AB5CA1" w:rsidTr="007548F5">
        <w:tc>
          <w:tcPr>
            <w:tcW w:w="1985" w:type="dxa"/>
            <w:shd w:val="clear" w:color="auto" w:fill="auto"/>
          </w:tcPr>
          <w:p w:rsidR="00B7441A" w:rsidRPr="00AB5CA1" w:rsidRDefault="00B7441A" w:rsidP="00466E06">
            <w:pPr>
              <w:spacing w:after="0" w:line="240" w:lineRule="auto"/>
              <w:jc w:val="both"/>
              <w:rPr>
                <w:rFonts w:ascii="Arial" w:hAnsi="Arial" w:cs="Arial"/>
                <w:bCs/>
                <w:sz w:val="21"/>
                <w:szCs w:val="21"/>
              </w:rPr>
            </w:pPr>
            <w:r>
              <w:rPr>
                <w:rFonts w:ascii="Arial" w:hAnsi="Arial" w:cs="Arial"/>
                <w:bCs/>
                <w:sz w:val="21"/>
                <w:szCs w:val="21"/>
              </w:rPr>
              <w:t>Japan</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B7441A" w:rsidRPr="00AB5CA1" w:rsidRDefault="006B4A38"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r>
      <w:tr w:rsidR="00B7441A" w:rsidRPr="00AB5CA1" w:rsidTr="007548F5">
        <w:tc>
          <w:tcPr>
            <w:tcW w:w="1985" w:type="dxa"/>
            <w:shd w:val="clear" w:color="auto" w:fill="auto"/>
          </w:tcPr>
          <w:p w:rsidR="00B7441A" w:rsidRPr="00AB5CA1" w:rsidRDefault="00B7441A" w:rsidP="00466E06">
            <w:pPr>
              <w:spacing w:after="0" w:line="240" w:lineRule="auto"/>
              <w:jc w:val="both"/>
              <w:rPr>
                <w:rFonts w:ascii="Arial" w:hAnsi="Arial" w:cs="Arial"/>
                <w:bCs/>
                <w:sz w:val="21"/>
                <w:szCs w:val="21"/>
              </w:rPr>
            </w:pPr>
            <w:r w:rsidRPr="00AB5CA1">
              <w:rPr>
                <w:rFonts w:ascii="Arial" w:hAnsi="Arial" w:cs="Arial"/>
                <w:bCs/>
                <w:sz w:val="21"/>
                <w:szCs w:val="21"/>
              </w:rPr>
              <w:t>Malaysia</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r w:rsidRPr="00B519E8">
              <w:rPr>
                <w:rFonts w:ascii="Arial" w:hAnsi="Arial" w:cs="Arial"/>
                <w:bCs/>
                <w:sz w:val="18"/>
                <w:szCs w:val="18"/>
                <w:vertAlign w:val="superscript"/>
              </w:rPr>
              <w:t>#</w:t>
            </w:r>
          </w:p>
        </w:tc>
      </w:tr>
      <w:tr w:rsidR="00B7441A" w:rsidRPr="00AB5CA1" w:rsidTr="007548F5">
        <w:tc>
          <w:tcPr>
            <w:tcW w:w="1985" w:type="dxa"/>
            <w:shd w:val="clear" w:color="auto" w:fill="auto"/>
          </w:tcPr>
          <w:p w:rsidR="00B7441A" w:rsidRPr="00AB5CA1" w:rsidRDefault="00B7441A" w:rsidP="00466E06">
            <w:pPr>
              <w:spacing w:after="0" w:line="240" w:lineRule="auto"/>
              <w:jc w:val="both"/>
              <w:rPr>
                <w:rFonts w:ascii="Arial" w:hAnsi="Arial" w:cs="Arial"/>
                <w:bCs/>
                <w:sz w:val="21"/>
                <w:szCs w:val="21"/>
              </w:rPr>
            </w:pPr>
            <w:r>
              <w:rPr>
                <w:rFonts w:ascii="Arial" w:hAnsi="Arial" w:cs="Arial"/>
                <w:bCs/>
                <w:sz w:val="21"/>
                <w:szCs w:val="21"/>
              </w:rPr>
              <w:t>Mexico</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B7441A" w:rsidP="00466E06">
            <w:pPr>
              <w:spacing w:after="0" w:line="240" w:lineRule="auto"/>
              <w:jc w:val="center"/>
              <w:rPr>
                <w:rFonts w:ascii="Arial" w:hAnsi="Arial" w:cs="Arial"/>
                <w:bCs/>
                <w:sz w:val="21"/>
                <w:szCs w:val="21"/>
              </w:rPr>
            </w:pPr>
          </w:p>
        </w:tc>
        <w:tc>
          <w:tcPr>
            <w:tcW w:w="1012"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B7441A" w:rsidRPr="00AB5CA1" w:rsidRDefault="00B7441A" w:rsidP="00466E06">
            <w:pPr>
              <w:spacing w:after="0" w:line="240" w:lineRule="auto"/>
              <w:jc w:val="center"/>
              <w:rPr>
                <w:rFonts w:ascii="Arial" w:hAnsi="Arial" w:cs="Arial"/>
                <w:bCs/>
                <w:sz w:val="21"/>
                <w:szCs w:val="21"/>
              </w:rPr>
            </w:pPr>
          </w:p>
        </w:tc>
      </w:tr>
      <w:tr w:rsidR="00B7441A" w:rsidRPr="00AB5CA1" w:rsidTr="007548F5">
        <w:tc>
          <w:tcPr>
            <w:tcW w:w="1985" w:type="dxa"/>
            <w:shd w:val="clear" w:color="auto" w:fill="auto"/>
          </w:tcPr>
          <w:p w:rsidR="00B7441A" w:rsidRPr="00AB5CA1" w:rsidRDefault="00B7441A" w:rsidP="00466E06">
            <w:pPr>
              <w:spacing w:after="0" w:line="240" w:lineRule="auto"/>
              <w:jc w:val="both"/>
              <w:rPr>
                <w:rFonts w:ascii="Arial" w:hAnsi="Arial" w:cs="Arial"/>
                <w:bCs/>
                <w:sz w:val="21"/>
                <w:szCs w:val="21"/>
              </w:rPr>
            </w:pPr>
            <w:r w:rsidRPr="00AB5CA1">
              <w:rPr>
                <w:rFonts w:ascii="Arial" w:hAnsi="Arial" w:cs="Arial"/>
                <w:bCs/>
                <w:sz w:val="21"/>
                <w:szCs w:val="21"/>
              </w:rPr>
              <w:t>New Zealand</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B7441A" w:rsidP="00466E06">
            <w:pPr>
              <w:spacing w:after="0" w:line="240" w:lineRule="auto"/>
              <w:jc w:val="center"/>
              <w:rPr>
                <w:rFonts w:ascii="Arial" w:hAnsi="Arial" w:cs="Arial"/>
                <w:bCs/>
                <w:sz w:val="21"/>
                <w:szCs w:val="21"/>
              </w:rPr>
            </w:pPr>
          </w:p>
        </w:tc>
        <w:tc>
          <w:tcPr>
            <w:tcW w:w="1012" w:type="dxa"/>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r>
      <w:tr w:rsidR="00B7441A" w:rsidRPr="00AB5CA1" w:rsidTr="007548F5">
        <w:tc>
          <w:tcPr>
            <w:tcW w:w="1985" w:type="dxa"/>
            <w:shd w:val="clear" w:color="auto" w:fill="auto"/>
          </w:tcPr>
          <w:p w:rsidR="00B7441A" w:rsidRPr="00AB5CA1" w:rsidRDefault="00B7441A" w:rsidP="00466E06">
            <w:pPr>
              <w:spacing w:after="0" w:line="240" w:lineRule="auto"/>
              <w:jc w:val="both"/>
              <w:rPr>
                <w:rFonts w:ascii="Arial" w:hAnsi="Arial" w:cs="Arial"/>
                <w:bCs/>
                <w:sz w:val="21"/>
                <w:szCs w:val="21"/>
              </w:rPr>
            </w:pPr>
            <w:r>
              <w:rPr>
                <w:rFonts w:ascii="Arial" w:hAnsi="Arial" w:cs="Arial"/>
                <w:bCs/>
                <w:sz w:val="21"/>
                <w:szCs w:val="21"/>
              </w:rPr>
              <w:t>Peru</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B7441A" w:rsidP="00466E06">
            <w:pPr>
              <w:spacing w:after="0" w:line="240" w:lineRule="auto"/>
              <w:jc w:val="center"/>
              <w:rPr>
                <w:rFonts w:ascii="Arial" w:hAnsi="Arial" w:cs="Arial"/>
                <w:bCs/>
                <w:sz w:val="21"/>
                <w:szCs w:val="21"/>
              </w:rPr>
            </w:pPr>
          </w:p>
        </w:tc>
        <w:tc>
          <w:tcPr>
            <w:tcW w:w="1012"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B7441A" w:rsidRPr="00AB5CA1" w:rsidRDefault="00B7441A" w:rsidP="00466E06">
            <w:pPr>
              <w:spacing w:after="0" w:line="240" w:lineRule="auto"/>
              <w:jc w:val="center"/>
              <w:rPr>
                <w:rFonts w:ascii="Arial" w:hAnsi="Arial" w:cs="Arial"/>
                <w:bCs/>
                <w:sz w:val="21"/>
                <w:szCs w:val="21"/>
              </w:rPr>
            </w:pPr>
          </w:p>
        </w:tc>
      </w:tr>
      <w:tr w:rsidR="00B7441A" w:rsidRPr="00AB5CA1" w:rsidTr="007548F5">
        <w:tc>
          <w:tcPr>
            <w:tcW w:w="1985" w:type="dxa"/>
            <w:shd w:val="clear" w:color="auto" w:fill="auto"/>
          </w:tcPr>
          <w:p w:rsidR="00B7441A" w:rsidRPr="00AB5CA1" w:rsidRDefault="001F5F43" w:rsidP="00466E06">
            <w:pPr>
              <w:spacing w:after="0" w:line="240" w:lineRule="auto"/>
              <w:jc w:val="both"/>
              <w:rPr>
                <w:rFonts w:ascii="Arial" w:hAnsi="Arial" w:cs="Arial"/>
                <w:bCs/>
                <w:sz w:val="21"/>
                <w:szCs w:val="21"/>
              </w:rPr>
            </w:pPr>
            <w:r>
              <w:rPr>
                <w:rFonts w:ascii="Arial" w:hAnsi="Arial" w:cs="Arial"/>
                <w:bCs/>
                <w:sz w:val="21"/>
                <w:szCs w:val="21"/>
              </w:rPr>
              <w:t xml:space="preserve">The </w:t>
            </w:r>
            <w:r w:rsidR="00B7441A" w:rsidRPr="00AB5CA1">
              <w:rPr>
                <w:rFonts w:ascii="Arial" w:hAnsi="Arial" w:cs="Arial"/>
                <w:bCs/>
                <w:sz w:val="21"/>
                <w:szCs w:val="21"/>
              </w:rPr>
              <w:t>Philippines</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r w:rsidRPr="00AB5CA1">
              <w:rPr>
                <w:rFonts w:ascii="Arial" w:hAnsi="Arial" w:cs="Arial"/>
                <w:bCs/>
                <w:sz w:val="21"/>
                <w:szCs w:val="21"/>
                <w:vertAlign w:val="superscript"/>
              </w:rPr>
              <w:t>#</w:t>
            </w: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3"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2" w:type="dxa"/>
            <w:shd w:val="clear" w:color="auto" w:fill="auto"/>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B7441A" w:rsidP="00466E06">
            <w:pPr>
              <w:spacing w:after="0" w:line="240" w:lineRule="auto"/>
              <w:jc w:val="center"/>
              <w:rPr>
                <w:rFonts w:ascii="Arial" w:hAnsi="Arial" w:cs="Arial"/>
                <w:bCs/>
                <w:sz w:val="21"/>
                <w:szCs w:val="21"/>
              </w:rPr>
            </w:pPr>
          </w:p>
        </w:tc>
        <w:tc>
          <w:tcPr>
            <w:tcW w:w="1012" w:type="dxa"/>
          </w:tcPr>
          <w:p w:rsidR="00B7441A" w:rsidRPr="00AB5CA1" w:rsidRDefault="00B7441A" w:rsidP="00466E06">
            <w:pPr>
              <w:spacing w:after="0" w:line="240" w:lineRule="auto"/>
              <w:jc w:val="center"/>
              <w:rPr>
                <w:rFonts w:ascii="Arial" w:hAnsi="Arial" w:cs="Arial"/>
                <w:bCs/>
                <w:sz w:val="21"/>
                <w:szCs w:val="21"/>
              </w:rPr>
            </w:pPr>
          </w:p>
        </w:tc>
        <w:tc>
          <w:tcPr>
            <w:tcW w:w="1013" w:type="dxa"/>
          </w:tcPr>
          <w:p w:rsidR="00B7441A" w:rsidRPr="00AB5CA1" w:rsidRDefault="00B7441A" w:rsidP="00466E06">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r>
      <w:tr w:rsidR="001F5F43" w:rsidRPr="00AB5CA1" w:rsidTr="007548F5">
        <w:tc>
          <w:tcPr>
            <w:tcW w:w="1985" w:type="dxa"/>
            <w:shd w:val="clear" w:color="auto" w:fill="auto"/>
          </w:tcPr>
          <w:p w:rsidR="001F5F43" w:rsidRPr="00AB5CA1" w:rsidRDefault="001F5F43" w:rsidP="001F5F43">
            <w:pPr>
              <w:spacing w:after="0" w:line="240" w:lineRule="auto"/>
              <w:jc w:val="both"/>
              <w:rPr>
                <w:rFonts w:ascii="Arial" w:hAnsi="Arial" w:cs="Arial"/>
                <w:bCs/>
                <w:sz w:val="21"/>
                <w:szCs w:val="21"/>
              </w:rPr>
            </w:pPr>
            <w:r>
              <w:rPr>
                <w:rFonts w:ascii="Arial" w:hAnsi="Arial" w:cs="Arial"/>
                <w:bCs/>
                <w:sz w:val="21"/>
                <w:szCs w:val="21"/>
              </w:rPr>
              <w:t xml:space="preserve">Republic of </w:t>
            </w:r>
            <w:r w:rsidRPr="00AB5CA1">
              <w:rPr>
                <w:rFonts w:ascii="Arial" w:hAnsi="Arial" w:cs="Arial"/>
                <w:bCs/>
                <w:sz w:val="21"/>
                <w:szCs w:val="21"/>
              </w:rPr>
              <w:t>Korea</w:t>
            </w: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3"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3" w:type="dxa"/>
          </w:tcPr>
          <w:p w:rsidR="001F5F43" w:rsidRPr="00AB5CA1" w:rsidRDefault="001F5F43" w:rsidP="001F5F43">
            <w:pPr>
              <w:spacing w:after="0" w:line="240" w:lineRule="auto"/>
              <w:jc w:val="center"/>
              <w:rPr>
                <w:rFonts w:ascii="Arial" w:hAnsi="Arial" w:cs="Arial"/>
                <w:bCs/>
                <w:sz w:val="21"/>
                <w:szCs w:val="21"/>
              </w:rPr>
            </w:pPr>
          </w:p>
        </w:tc>
        <w:tc>
          <w:tcPr>
            <w:tcW w:w="1012" w:type="dxa"/>
          </w:tcPr>
          <w:p w:rsidR="001F5F43" w:rsidRPr="00AB5CA1" w:rsidRDefault="001F5F43" w:rsidP="001F5F43">
            <w:pPr>
              <w:spacing w:after="0" w:line="240" w:lineRule="auto"/>
              <w:jc w:val="center"/>
              <w:rPr>
                <w:rFonts w:ascii="Arial" w:hAnsi="Arial" w:cs="Arial"/>
                <w:bCs/>
                <w:sz w:val="21"/>
                <w:szCs w:val="21"/>
              </w:rPr>
            </w:pPr>
          </w:p>
        </w:tc>
        <w:tc>
          <w:tcPr>
            <w:tcW w:w="1013" w:type="dxa"/>
          </w:tcPr>
          <w:p w:rsidR="001F5F43" w:rsidRPr="00AB5CA1" w:rsidRDefault="001F5F43" w:rsidP="001F5F43">
            <w:pPr>
              <w:spacing w:after="0" w:line="240" w:lineRule="auto"/>
              <w:jc w:val="center"/>
              <w:rPr>
                <w:rFonts w:ascii="Arial" w:hAnsi="Arial" w:cs="Arial"/>
                <w:bCs/>
                <w:sz w:val="21"/>
                <w:szCs w:val="21"/>
              </w:rPr>
            </w:pPr>
          </w:p>
        </w:tc>
      </w:tr>
      <w:tr w:rsidR="001F5F43" w:rsidRPr="00AB5CA1" w:rsidTr="007548F5">
        <w:tc>
          <w:tcPr>
            <w:tcW w:w="1985" w:type="dxa"/>
            <w:shd w:val="clear" w:color="auto" w:fill="auto"/>
          </w:tcPr>
          <w:p w:rsidR="001F5F43" w:rsidRPr="00AB5CA1" w:rsidRDefault="001F5F43" w:rsidP="001F5F43">
            <w:pPr>
              <w:spacing w:after="0" w:line="240" w:lineRule="auto"/>
              <w:jc w:val="both"/>
              <w:rPr>
                <w:rFonts w:ascii="Arial" w:hAnsi="Arial" w:cs="Arial"/>
                <w:bCs/>
                <w:sz w:val="21"/>
                <w:szCs w:val="21"/>
              </w:rPr>
            </w:pPr>
            <w:r w:rsidRPr="00AB5CA1">
              <w:rPr>
                <w:rFonts w:ascii="Arial" w:hAnsi="Arial" w:cs="Arial"/>
                <w:bCs/>
                <w:sz w:val="21"/>
                <w:szCs w:val="21"/>
              </w:rPr>
              <w:t>Russia</w:t>
            </w: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3" w:type="dxa"/>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tcPr>
          <w:p w:rsidR="001F5F43" w:rsidRPr="00AB5CA1" w:rsidRDefault="001F5F43" w:rsidP="001F5F43">
            <w:pPr>
              <w:spacing w:after="0" w:line="240" w:lineRule="auto"/>
              <w:jc w:val="center"/>
              <w:rPr>
                <w:rFonts w:ascii="Arial" w:hAnsi="Arial" w:cs="Arial"/>
                <w:bCs/>
                <w:sz w:val="21"/>
                <w:szCs w:val="21"/>
              </w:rPr>
            </w:pPr>
          </w:p>
        </w:tc>
        <w:tc>
          <w:tcPr>
            <w:tcW w:w="1013" w:type="dxa"/>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r>
      <w:tr w:rsidR="001F5F43" w:rsidRPr="00AB5CA1" w:rsidTr="007548F5">
        <w:tc>
          <w:tcPr>
            <w:tcW w:w="1985" w:type="dxa"/>
            <w:shd w:val="clear" w:color="auto" w:fill="auto"/>
          </w:tcPr>
          <w:p w:rsidR="001F5F43" w:rsidRPr="00AB5CA1" w:rsidRDefault="001F5F43" w:rsidP="001F5F43">
            <w:pPr>
              <w:spacing w:after="0" w:line="240" w:lineRule="auto"/>
              <w:jc w:val="both"/>
              <w:rPr>
                <w:rFonts w:ascii="Arial" w:hAnsi="Arial" w:cs="Arial"/>
                <w:bCs/>
                <w:sz w:val="21"/>
                <w:szCs w:val="21"/>
              </w:rPr>
            </w:pPr>
            <w:r w:rsidRPr="00AB5CA1">
              <w:rPr>
                <w:rFonts w:ascii="Arial" w:hAnsi="Arial" w:cs="Arial"/>
                <w:bCs/>
                <w:sz w:val="21"/>
                <w:szCs w:val="21"/>
              </w:rPr>
              <w:t>Singapore</w:t>
            </w: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3"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3" w:type="dxa"/>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tcPr>
          <w:p w:rsidR="001F5F43" w:rsidRPr="00AB5CA1" w:rsidRDefault="001F5F43" w:rsidP="001F5F43">
            <w:pPr>
              <w:spacing w:after="0" w:line="240" w:lineRule="auto"/>
              <w:jc w:val="center"/>
              <w:rPr>
                <w:rFonts w:ascii="Arial" w:hAnsi="Arial" w:cs="Arial"/>
                <w:bCs/>
                <w:sz w:val="21"/>
                <w:szCs w:val="21"/>
              </w:rPr>
            </w:pPr>
          </w:p>
        </w:tc>
        <w:tc>
          <w:tcPr>
            <w:tcW w:w="1013" w:type="dxa"/>
          </w:tcPr>
          <w:p w:rsidR="001F5F43" w:rsidRPr="00AB5CA1" w:rsidRDefault="001F5F43" w:rsidP="001F5F43">
            <w:pPr>
              <w:spacing w:after="0" w:line="240" w:lineRule="auto"/>
              <w:jc w:val="center"/>
              <w:rPr>
                <w:rFonts w:ascii="Arial" w:hAnsi="Arial" w:cs="Arial"/>
                <w:bCs/>
                <w:sz w:val="21"/>
                <w:szCs w:val="21"/>
              </w:rPr>
            </w:pPr>
          </w:p>
        </w:tc>
      </w:tr>
      <w:tr w:rsidR="001F5F43" w:rsidRPr="00AB5CA1" w:rsidTr="007548F5">
        <w:tc>
          <w:tcPr>
            <w:tcW w:w="1985" w:type="dxa"/>
            <w:shd w:val="clear" w:color="auto" w:fill="auto"/>
          </w:tcPr>
          <w:p w:rsidR="001F5F43" w:rsidRPr="00AB5CA1" w:rsidRDefault="001F5F43" w:rsidP="001F5F43">
            <w:pPr>
              <w:spacing w:after="0" w:line="240" w:lineRule="auto"/>
              <w:jc w:val="both"/>
              <w:rPr>
                <w:rFonts w:ascii="Arial" w:hAnsi="Arial" w:cs="Arial"/>
                <w:bCs/>
                <w:sz w:val="21"/>
                <w:szCs w:val="21"/>
              </w:rPr>
            </w:pPr>
            <w:r w:rsidRPr="00AB5CA1">
              <w:rPr>
                <w:rFonts w:ascii="Arial" w:hAnsi="Arial" w:cs="Arial"/>
                <w:bCs/>
                <w:sz w:val="21"/>
                <w:szCs w:val="21"/>
              </w:rPr>
              <w:t>Thailand</w:t>
            </w: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3" w:type="dxa"/>
            <w:shd w:val="clear" w:color="auto" w:fill="auto"/>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1F5F43" w:rsidRPr="00AB5CA1" w:rsidRDefault="001F5F43" w:rsidP="001F5F43">
            <w:pPr>
              <w:spacing w:after="0" w:line="240" w:lineRule="auto"/>
              <w:jc w:val="center"/>
              <w:rPr>
                <w:rFonts w:ascii="Arial" w:hAnsi="Arial" w:cs="Arial"/>
                <w:bCs/>
                <w:sz w:val="21"/>
                <w:szCs w:val="21"/>
              </w:rPr>
            </w:pPr>
          </w:p>
        </w:tc>
        <w:tc>
          <w:tcPr>
            <w:tcW w:w="1012" w:type="dxa"/>
          </w:tcPr>
          <w:p w:rsidR="001F5F43" w:rsidRPr="00AB5CA1" w:rsidRDefault="001F5F43" w:rsidP="001F5F43">
            <w:pPr>
              <w:spacing w:after="0" w:line="240" w:lineRule="auto"/>
              <w:jc w:val="center"/>
              <w:rPr>
                <w:rFonts w:ascii="Arial" w:hAnsi="Arial" w:cs="Arial"/>
                <w:bCs/>
                <w:sz w:val="21"/>
                <w:szCs w:val="21"/>
              </w:rPr>
            </w:pPr>
          </w:p>
        </w:tc>
        <w:tc>
          <w:tcPr>
            <w:tcW w:w="1013" w:type="dxa"/>
          </w:tcPr>
          <w:p w:rsidR="001F5F43" w:rsidRPr="00AB5CA1" w:rsidRDefault="001F5F43" w:rsidP="001F5F43">
            <w:pPr>
              <w:spacing w:after="0" w:line="240" w:lineRule="auto"/>
              <w:jc w:val="center"/>
              <w:rPr>
                <w:rFonts w:ascii="Arial" w:hAnsi="Arial" w:cs="Arial"/>
                <w:bCs/>
                <w:sz w:val="21"/>
                <w:szCs w:val="21"/>
              </w:rPr>
            </w:pPr>
          </w:p>
        </w:tc>
      </w:tr>
      <w:tr w:rsidR="001F5F43" w:rsidRPr="00AB5CA1" w:rsidTr="007548F5">
        <w:tc>
          <w:tcPr>
            <w:tcW w:w="1985" w:type="dxa"/>
            <w:shd w:val="clear" w:color="auto" w:fill="auto"/>
          </w:tcPr>
          <w:p w:rsidR="001F5F43" w:rsidRPr="00AB5CA1" w:rsidRDefault="001F5F43" w:rsidP="001F5F43">
            <w:pPr>
              <w:spacing w:after="0" w:line="240" w:lineRule="auto"/>
              <w:jc w:val="both"/>
              <w:rPr>
                <w:rFonts w:ascii="Arial" w:hAnsi="Arial" w:cs="Arial"/>
                <w:bCs/>
                <w:sz w:val="21"/>
                <w:szCs w:val="21"/>
              </w:rPr>
            </w:pPr>
            <w:r>
              <w:rPr>
                <w:rFonts w:ascii="Arial" w:hAnsi="Arial" w:cs="Arial"/>
                <w:bCs/>
                <w:sz w:val="21"/>
                <w:szCs w:val="21"/>
              </w:rPr>
              <w:t>Vietnam</w:t>
            </w: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3"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p>
        </w:tc>
        <w:tc>
          <w:tcPr>
            <w:tcW w:w="1013" w:type="dxa"/>
          </w:tcPr>
          <w:p w:rsidR="001F5F43" w:rsidRPr="00AB5CA1" w:rsidRDefault="001F5F43" w:rsidP="001F5F43">
            <w:pPr>
              <w:spacing w:after="0" w:line="240" w:lineRule="auto"/>
              <w:jc w:val="center"/>
              <w:rPr>
                <w:rFonts w:ascii="Arial" w:hAnsi="Arial" w:cs="Arial"/>
                <w:bCs/>
                <w:sz w:val="21"/>
                <w:szCs w:val="21"/>
              </w:rPr>
            </w:pPr>
          </w:p>
        </w:tc>
        <w:tc>
          <w:tcPr>
            <w:tcW w:w="1012" w:type="dxa"/>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3" w:type="dxa"/>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r>
      <w:tr w:rsidR="001F5F43" w:rsidRPr="00AB5CA1" w:rsidTr="007548F5">
        <w:tc>
          <w:tcPr>
            <w:tcW w:w="1985" w:type="dxa"/>
            <w:shd w:val="clear" w:color="auto" w:fill="auto"/>
          </w:tcPr>
          <w:p w:rsidR="001F5F43" w:rsidRPr="00AB5CA1" w:rsidRDefault="001F5F43" w:rsidP="001F5F43">
            <w:pPr>
              <w:spacing w:after="0" w:line="240" w:lineRule="auto"/>
              <w:jc w:val="both"/>
              <w:rPr>
                <w:rFonts w:ascii="Arial" w:hAnsi="Arial" w:cs="Arial"/>
                <w:bCs/>
                <w:sz w:val="21"/>
                <w:szCs w:val="21"/>
              </w:rPr>
            </w:pPr>
            <w:r>
              <w:rPr>
                <w:rFonts w:ascii="Arial" w:hAnsi="Arial" w:cs="Arial"/>
                <w:bCs/>
                <w:sz w:val="21"/>
                <w:szCs w:val="21"/>
              </w:rPr>
              <w:t>The United States</w:t>
            </w: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r>
              <w:rPr>
                <w:rFonts w:ascii="Arial" w:hAnsi="Arial" w:cs="Arial"/>
                <w:bCs/>
                <w:sz w:val="21"/>
                <w:szCs w:val="21"/>
              </w:rPr>
              <w:t>*</w:t>
            </w:r>
          </w:p>
        </w:tc>
        <w:tc>
          <w:tcPr>
            <w:tcW w:w="1013" w:type="dxa"/>
            <w:shd w:val="clear" w:color="auto" w:fill="auto"/>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r>
              <w:rPr>
                <w:rFonts w:ascii="Arial" w:hAnsi="Arial" w:cs="Arial"/>
                <w:bCs/>
                <w:sz w:val="21"/>
                <w:szCs w:val="21"/>
              </w:rPr>
              <w:t>*</w:t>
            </w:r>
          </w:p>
        </w:tc>
        <w:tc>
          <w:tcPr>
            <w:tcW w:w="1012" w:type="dxa"/>
            <w:shd w:val="clear" w:color="auto" w:fill="auto"/>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r>
              <w:rPr>
                <w:rFonts w:ascii="Arial" w:hAnsi="Arial" w:cs="Arial"/>
                <w:bCs/>
                <w:sz w:val="21"/>
                <w:szCs w:val="21"/>
              </w:rPr>
              <w:t>*</w:t>
            </w:r>
          </w:p>
        </w:tc>
        <w:tc>
          <w:tcPr>
            <w:tcW w:w="1013" w:type="dxa"/>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r>
              <w:rPr>
                <w:rFonts w:ascii="Arial" w:hAnsi="Arial" w:cs="Arial"/>
                <w:bCs/>
                <w:sz w:val="21"/>
                <w:szCs w:val="21"/>
              </w:rPr>
              <w:t>*</w:t>
            </w:r>
          </w:p>
        </w:tc>
        <w:tc>
          <w:tcPr>
            <w:tcW w:w="1012" w:type="dxa"/>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r>
              <w:rPr>
                <w:rFonts w:ascii="Arial" w:hAnsi="Arial" w:cs="Arial"/>
                <w:bCs/>
                <w:sz w:val="21"/>
                <w:szCs w:val="21"/>
              </w:rPr>
              <w:t>*</w:t>
            </w:r>
          </w:p>
        </w:tc>
        <w:tc>
          <w:tcPr>
            <w:tcW w:w="1013" w:type="dxa"/>
          </w:tcPr>
          <w:p w:rsidR="001F5F43" w:rsidRPr="00AB5CA1" w:rsidRDefault="001F5F43" w:rsidP="001F5F43">
            <w:pPr>
              <w:spacing w:after="0" w:line="240" w:lineRule="auto"/>
              <w:jc w:val="center"/>
              <w:rPr>
                <w:rFonts w:ascii="Arial" w:hAnsi="Arial" w:cs="Arial"/>
                <w:bCs/>
                <w:sz w:val="21"/>
                <w:szCs w:val="21"/>
              </w:rPr>
            </w:pPr>
            <w:r w:rsidRPr="00AB5CA1">
              <w:rPr>
                <w:rFonts w:ascii="Arial" w:hAnsi="Arial" w:cs="Arial"/>
                <w:bCs/>
                <w:sz w:val="21"/>
                <w:szCs w:val="21"/>
              </w:rPr>
              <w:sym w:font="Wingdings" w:char="F0FC"/>
            </w:r>
          </w:p>
        </w:tc>
      </w:tr>
    </w:tbl>
    <w:p w:rsidR="00B7441A" w:rsidRPr="00B519E8" w:rsidRDefault="00B7441A" w:rsidP="00B7441A">
      <w:pPr>
        <w:spacing w:after="0" w:line="240" w:lineRule="auto"/>
        <w:jc w:val="both"/>
        <w:rPr>
          <w:rFonts w:ascii="Arial" w:hAnsi="Arial" w:cs="Arial"/>
          <w:bCs/>
          <w:sz w:val="18"/>
          <w:szCs w:val="18"/>
        </w:rPr>
      </w:pPr>
      <w:r w:rsidRPr="00B519E8">
        <w:rPr>
          <w:rFonts w:ascii="Arial" w:hAnsi="Arial" w:cs="Arial"/>
          <w:bCs/>
          <w:sz w:val="18"/>
          <w:szCs w:val="18"/>
          <w:vertAlign w:val="superscript"/>
        </w:rPr>
        <w:t>#</w:t>
      </w:r>
      <w:r w:rsidRPr="00B519E8">
        <w:rPr>
          <w:rFonts w:ascii="Arial" w:hAnsi="Arial" w:cs="Arial"/>
          <w:bCs/>
          <w:sz w:val="18"/>
          <w:szCs w:val="18"/>
        </w:rPr>
        <w:t>Only the general information section was completed.</w:t>
      </w:r>
    </w:p>
    <w:p w:rsidR="00B7441A" w:rsidRPr="00B519E8" w:rsidRDefault="00B7441A" w:rsidP="00B7441A">
      <w:pPr>
        <w:spacing w:after="0" w:line="240" w:lineRule="auto"/>
        <w:jc w:val="both"/>
        <w:rPr>
          <w:rFonts w:ascii="Arial" w:hAnsi="Arial" w:cs="Arial"/>
          <w:bCs/>
          <w:sz w:val="18"/>
          <w:szCs w:val="18"/>
        </w:rPr>
      </w:pPr>
      <w:r w:rsidRPr="00232387">
        <w:rPr>
          <w:rFonts w:ascii="Arial" w:hAnsi="Arial" w:cs="Arial"/>
          <w:bCs/>
          <w:sz w:val="18"/>
          <w:szCs w:val="18"/>
        </w:rPr>
        <w:t>*</w:t>
      </w:r>
      <w:r>
        <w:rPr>
          <w:rFonts w:ascii="Arial" w:hAnsi="Arial" w:cs="Arial"/>
          <w:bCs/>
          <w:sz w:val="18"/>
          <w:szCs w:val="18"/>
        </w:rPr>
        <w:t xml:space="preserve">Only </w:t>
      </w:r>
      <w:r w:rsidRPr="00B519E8">
        <w:rPr>
          <w:rFonts w:ascii="Arial" w:hAnsi="Arial" w:cs="Arial"/>
          <w:bCs/>
          <w:sz w:val="18"/>
          <w:szCs w:val="18"/>
        </w:rPr>
        <w:t>industry response</w:t>
      </w:r>
      <w:r>
        <w:rPr>
          <w:rFonts w:ascii="Arial" w:hAnsi="Arial" w:cs="Arial"/>
          <w:bCs/>
          <w:sz w:val="18"/>
          <w:szCs w:val="18"/>
        </w:rPr>
        <w:t>s have been received.</w:t>
      </w:r>
    </w:p>
    <w:p w:rsidR="00B7441A" w:rsidRDefault="00B7441A" w:rsidP="00B7441A">
      <w:pPr>
        <w:spacing w:after="0" w:line="240" w:lineRule="auto"/>
        <w:jc w:val="both"/>
        <w:rPr>
          <w:rFonts w:ascii="Arial" w:hAnsi="Arial" w:cs="Arial"/>
          <w:sz w:val="21"/>
          <w:szCs w:val="21"/>
        </w:rPr>
      </w:pPr>
    </w:p>
    <w:p w:rsidR="00B7441A" w:rsidRDefault="00B7441A" w:rsidP="00B7441A">
      <w:pPr>
        <w:spacing w:after="0" w:line="240" w:lineRule="auto"/>
        <w:jc w:val="both"/>
        <w:rPr>
          <w:rFonts w:ascii="Arial" w:hAnsi="Arial" w:cs="Arial"/>
          <w:sz w:val="21"/>
          <w:szCs w:val="21"/>
        </w:rPr>
      </w:pPr>
      <w:r>
        <w:rPr>
          <w:rFonts w:ascii="Arial" w:hAnsi="Arial" w:cs="Arial"/>
          <w:sz w:val="21"/>
          <w:szCs w:val="21"/>
        </w:rPr>
        <w:t xml:space="preserve">In total, there are </w:t>
      </w:r>
      <w:r w:rsidR="001F5F43">
        <w:rPr>
          <w:rFonts w:ascii="Arial" w:hAnsi="Arial" w:cs="Arial"/>
          <w:sz w:val="21"/>
          <w:szCs w:val="21"/>
        </w:rPr>
        <w:t>13</w:t>
      </w:r>
      <w:r>
        <w:rPr>
          <w:rFonts w:ascii="Arial" w:hAnsi="Arial" w:cs="Arial"/>
          <w:sz w:val="21"/>
          <w:szCs w:val="21"/>
        </w:rPr>
        <w:t xml:space="preserve"> GHS reporting templates </w:t>
      </w:r>
      <w:r w:rsidR="001F5F43">
        <w:rPr>
          <w:rFonts w:ascii="Arial" w:hAnsi="Arial" w:cs="Arial"/>
          <w:sz w:val="21"/>
          <w:szCs w:val="21"/>
        </w:rPr>
        <w:t xml:space="preserve">from 12 economies </w:t>
      </w:r>
      <w:r>
        <w:rPr>
          <w:rFonts w:ascii="Arial" w:hAnsi="Arial" w:cs="Arial"/>
          <w:sz w:val="21"/>
          <w:szCs w:val="21"/>
        </w:rPr>
        <w:t>for analysis for this report.  Reports were received from –</w:t>
      </w:r>
      <w:r w:rsidRPr="001540D3">
        <w:rPr>
          <w:rFonts w:ascii="Arial" w:hAnsi="Arial" w:cs="Arial"/>
          <w:sz w:val="21"/>
          <w:szCs w:val="21"/>
        </w:rPr>
        <w:t xml:space="preserve"> </w:t>
      </w:r>
      <w:r>
        <w:rPr>
          <w:rFonts w:ascii="Arial" w:hAnsi="Arial" w:cs="Arial"/>
          <w:sz w:val="21"/>
          <w:szCs w:val="21"/>
        </w:rPr>
        <w:t xml:space="preserve">Australia; </w:t>
      </w:r>
      <w:r w:rsidR="001F5F43">
        <w:rPr>
          <w:rFonts w:ascii="Arial" w:hAnsi="Arial" w:cs="Arial"/>
          <w:sz w:val="21"/>
          <w:szCs w:val="21"/>
        </w:rPr>
        <w:t xml:space="preserve">Canada; </w:t>
      </w:r>
      <w:r>
        <w:rPr>
          <w:rFonts w:ascii="Arial" w:hAnsi="Arial" w:cs="Arial"/>
          <w:sz w:val="21"/>
          <w:szCs w:val="21"/>
        </w:rPr>
        <w:t xml:space="preserve">Chinese Taipei; Hong Kong, China; </w:t>
      </w:r>
      <w:r w:rsidR="001F5F43">
        <w:rPr>
          <w:rFonts w:ascii="Arial" w:hAnsi="Arial" w:cs="Arial"/>
          <w:sz w:val="21"/>
          <w:szCs w:val="21"/>
        </w:rPr>
        <w:t xml:space="preserve">Indonesia; </w:t>
      </w:r>
      <w:r w:rsidR="006B4A38">
        <w:rPr>
          <w:rFonts w:ascii="Arial" w:hAnsi="Arial" w:cs="Arial"/>
          <w:sz w:val="21"/>
          <w:szCs w:val="21"/>
        </w:rPr>
        <w:t xml:space="preserve">Japan; </w:t>
      </w:r>
      <w:r>
        <w:rPr>
          <w:rFonts w:ascii="Arial" w:hAnsi="Arial" w:cs="Arial"/>
          <w:sz w:val="21"/>
          <w:szCs w:val="21"/>
        </w:rPr>
        <w:t xml:space="preserve">Malaysia; New Zealand; </w:t>
      </w:r>
      <w:r w:rsidR="001F5F43">
        <w:rPr>
          <w:rFonts w:ascii="Arial" w:hAnsi="Arial" w:cs="Arial"/>
          <w:sz w:val="21"/>
          <w:szCs w:val="21"/>
        </w:rPr>
        <w:t xml:space="preserve">the </w:t>
      </w:r>
      <w:r>
        <w:rPr>
          <w:rFonts w:ascii="Arial" w:hAnsi="Arial" w:cs="Arial"/>
          <w:sz w:val="21"/>
          <w:szCs w:val="21"/>
        </w:rPr>
        <w:t>Philippines; Russia; Vietnam</w:t>
      </w:r>
      <w:r w:rsidR="001F5F43">
        <w:rPr>
          <w:rFonts w:ascii="Arial" w:hAnsi="Arial" w:cs="Arial"/>
          <w:sz w:val="21"/>
          <w:szCs w:val="21"/>
        </w:rPr>
        <w:t>,</w:t>
      </w:r>
      <w:r>
        <w:rPr>
          <w:rFonts w:ascii="Arial" w:hAnsi="Arial" w:cs="Arial"/>
          <w:sz w:val="21"/>
          <w:szCs w:val="21"/>
        </w:rPr>
        <w:t xml:space="preserve"> and </w:t>
      </w:r>
      <w:r w:rsidR="001F5F43">
        <w:rPr>
          <w:rFonts w:ascii="Arial" w:hAnsi="Arial" w:cs="Arial"/>
          <w:sz w:val="21"/>
          <w:szCs w:val="21"/>
        </w:rPr>
        <w:t xml:space="preserve">separate forms from </w:t>
      </w:r>
      <w:r>
        <w:rPr>
          <w:rFonts w:ascii="Arial" w:hAnsi="Arial" w:cs="Arial"/>
          <w:sz w:val="21"/>
          <w:szCs w:val="21"/>
        </w:rPr>
        <w:t xml:space="preserve">the </w:t>
      </w:r>
      <w:r w:rsidR="001F5F43">
        <w:rPr>
          <w:rFonts w:ascii="Arial" w:hAnsi="Arial" w:cs="Arial"/>
          <w:sz w:val="21"/>
          <w:szCs w:val="21"/>
        </w:rPr>
        <w:t>United States government (OSHA) and industry (American Petroleum Institute (API))</w:t>
      </w:r>
      <w:r>
        <w:rPr>
          <w:rFonts w:ascii="Arial" w:hAnsi="Arial" w:cs="Arial"/>
          <w:sz w:val="21"/>
          <w:szCs w:val="21"/>
        </w:rPr>
        <w:t xml:space="preserve">.  The completeness of </w:t>
      </w:r>
      <w:r w:rsidR="007548F5">
        <w:rPr>
          <w:rFonts w:ascii="Arial" w:hAnsi="Arial" w:cs="Arial"/>
          <w:sz w:val="21"/>
          <w:szCs w:val="21"/>
        </w:rPr>
        <w:t xml:space="preserve">the </w:t>
      </w:r>
      <w:r>
        <w:rPr>
          <w:rFonts w:ascii="Arial" w:hAnsi="Arial" w:cs="Arial"/>
          <w:sz w:val="21"/>
          <w:szCs w:val="21"/>
        </w:rPr>
        <w:t>report varies from only the “General” section being completed, to every section being completed.  The reports from each of the economies</w:t>
      </w:r>
      <w:r w:rsidR="006B4A38">
        <w:rPr>
          <w:rFonts w:ascii="Arial" w:hAnsi="Arial" w:cs="Arial"/>
          <w:sz w:val="21"/>
          <w:szCs w:val="21"/>
        </w:rPr>
        <w:t xml:space="preserve"> </w:t>
      </w:r>
      <w:r w:rsidR="001F5F43">
        <w:rPr>
          <w:rFonts w:ascii="Arial" w:hAnsi="Arial" w:cs="Arial"/>
          <w:sz w:val="21"/>
          <w:szCs w:val="21"/>
        </w:rPr>
        <w:t>are provided as Attachments 1-11, and Attachments 12a and 12b for the United States</w:t>
      </w:r>
      <w:r>
        <w:rPr>
          <w:rFonts w:ascii="Arial" w:hAnsi="Arial" w:cs="Arial"/>
          <w:sz w:val="21"/>
          <w:szCs w:val="21"/>
        </w:rPr>
        <w:t>.  Reports provided by Chinese Taipei and Malaysia after the sixth progress report (in 2015) have been included in this report.</w:t>
      </w:r>
    </w:p>
    <w:p w:rsidR="00B7441A" w:rsidRPr="001540D3" w:rsidRDefault="00B7441A" w:rsidP="00B7441A">
      <w:pPr>
        <w:spacing w:after="0" w:line="240" w:lineRule="auto"/>
        <w:jc w:val="both"/>
        <w:rPr>
          <w:rFonts w:ascii="Arial" w:hAnsi="Arial" w:cs="Arial"/>
          <w:sz w:val="21"/>
          <w:szCs w:val="21"/>
        </w:rPr>
      </w:pPr>
    </w:p>
    <w:p w:rsidR="00B7441A" w:rsidRDefault="00B7441A" w:rsidP="00B7441A">
      <w:pPr>
        <w:spacing w:after="0" w:line="240" w:lineRule="auto"/>
        <w:jc w:val="both"/>
        <w:rPr>
          <w:rFonts w:ascii="Arial" w:hAnsi="Arial" w:cs="Arial"/>
          <w:bCs/>
          <w:sz w:val="21"/>
          <w:szCs w:val="21"/>
          <w:u w:val="single"/>
        </w:rPr>
      </w:pPr>
      <w:r w:rsidRPr="004D61B7">
        <w:rPr>
          <w:rFonts w:ascii="Arial" w:hAnsi="Arial" w:cs="Arial"/>
          <w:bCs/>
          <w:sz w:val="21"/>
          <w:szCs w:val="21"/>
          <w:u w:val="single"/>
        </w:rPr>
        <w:t xml:space="preserve">Industrial Workplace </w:t>
      </w:r>
    </w:p>
    <w:p w:rsidR="00B7441A" w:rsidRPr="004D61B7" w:rsidRDefault="00B7441A" w:rsidP="00B7441A">
      <w:pPr>
        <w:spacing w:after="0" w:line="240" w:lineRule="auto"/>
        <w:jc w:val="both"/>
        <w:rPr>
          <w:rFonts w:ascii="Arial" w:hAnsi="Arial" w:cs="Arial"/>
          <w:bCs/>
          <w:sz w:val="21"/>
          <w:szCs w:val="21"/>
          <w:u w:val="single"/>
        </w:rPr>
      </w:pPr>
    </w:p>
    <w:p w:rsidR="00B7441A" w:rsidRDefault="00B7441A" w:rsidP="00B7441A">
      <w:pPr>
        <w:spacing w:after="0" w:line="240" w:lineRule="auto"/>
        <w:jc w:val="both"/>
        <w:rPr>
          <w:rFonts w:ascii="Arial" w:hAnsi="Arial" w:cs="Arial"/>
          <w:sz w:val="21"/>
          <w:szCs w:val="21"/>
        </w:rPr>
      </w:pPr>
      <w:r w:rsidRPr="004F0E78">
        <w:rPr>
          <w:rFonts w:ascii="Arial" w:hAnsi="Arial" w:cs="Arial"/>
          <w:bCs/>
          <w:sz w:val="21"/>
          <w:szCs w:val="21"/>
        </w:rPr>
        <w:t>As previously reported, th</w:t>
      </w:r>
      <w:r>
        <w:rPr>
          <w:rFonts w:ascii="Arial" w:hAnsi="Arial" w:cs="Arial"/>
          <w:bCs/>
          <w:sz w:val="21"/>
          <w:szCs w:val="21"/>
        </w:rPr>
        <w:t xml:space="preserve">e Industrial Workplace </w:t>
      </w:r>
      <w:r w:rsidRPr="004F0E78">
        <w:rPr>
          <w:rFonts w:ascii="Arial" w:hAnsi="Arial" w:cs="Arial"/>
          <w:bCs/>
          <w:sz w:val="21"/>
          <w:szCs w:val="21"/>
        </w:rPr>
        <w:t>sector</w:t>
      </w:r>
      <w:r w:rsidRPr="001540D3">
        <w:rPr>
          <w:rFonts w:ascii="Arial" w:hAnsi="Arial" w:cs="Arial"/>
          <w:sz w:val="21"/>
          <w:szCs w:val="21"/>
        </w:rPr>
        <w:t xml:space="preserve"> </w:t>
      </w:r>
      <w:r>
        <w:rPr>
          <w:rFonts w:ascii="Arial" w:hAnsi="Arial" w:cs="Arial"/>
          <w:sz w:val="21"/>
          <w:szCs w:val="21"/>
        </w:rPr>
        <w:t>continues</w:t>
      </w:r>
      <w:r w:rsidRPr="001540D3">
        <w:rPr>
          <w:rFonts w:ascii="Arial" w:hAnsi="Arial" w:cs="Arial"/>
          <w:sz w:val="21"/>
          <w:szCs w:val="21"/>
        </w:rPr>
        <w:t xml:space="preserve"> to be the focal point for implementation of GHS</w:t>
      </w:r>
      <w:r>
        <w:rPr>
          <w:rFonts w:ascii="Arial" w:hAnsi="Arial" w:cs="Arial"/>
          <w:sz w:val="21"/>
          <w:szCs w:val="21"/>
        </w:rPr>
        <w:t>.  All economies except Malaysia</w:t>
      </w:r>
      <w:r w:rsidR="00CA3BE5">
        <w:rPr>
          <w:rFonts w:ascii="Arial" w:hAnsi="Arial" w:cs="Arial"/>
          <w:sz w:val="21"/>
          <w:szCs w:val="21"/>
        </w:rPr>
        <w:t xml:space="preserve"> and Indonesia</w:t>
      </w:r>
      <w:r>
        <w:rPr>
          <w:rStyle w:val="FootnoteReference"/>
          <w:rFonts w:ascii="Arial" w:hAnsi="Arial" w:cs="Arial"/>
          <w:sz w:val="21"/>
          <w:szCs w:val="21"/>
        </w:rPr>
        <w:footnoteReference w:id="1"/>
      </w:r>
      <w:r>
        <w:rPr>
          <w:rFonts w:ascii="Arial" w:hAnsi="Arial" w:cs="Arial"/>
          <w:sz w:val="21"/>
          <w:szCs w:val="21"/>
        </w:rPr>
        <w:t xml:space="preserve"> completed the Regulator sectio</w:t>
      </w:r>
      <w:r w:rsidR="006B4A38">
        <w:rPr>
          <w:rFonts w:ascii="Arial" w:hAnsi="Arial" w:cs="Arial"/>
          <w:sz w:val="21"/>
          <w:szCs w:val="21"/>
        </w:rPr>
        <w:t xml:space="preserve">n for Industrial Workplace.  </w:t>
      </w:r>
      <w:r w:rsidR="001F5F43">
        <w:rPr>
          <w:rFonts w:ascii="Arial" w:hAnsi="Arial" w:cs="Arial"/>
          <w:sz w:val="21"/>
          <w:szCs w:val="21"/>
        </w:rPr>
        <w:t xml:space="preserve">Nine </w:t>
      </w:r>
      <w:r w:rsidR="006B4A38">
        <w:rPr>
          <w:rFonts w:ascii="Arial" w:hAnsi="Arial" w:cs="Arial"/>
          <w:sz w:val="21"/>
          <w:szCs w:val="21"/>
        </w:rPr>
        <w:t xml:space="preserve">of </w:t>
      </w:r>
      <w:r w:rsidR="007548F5">
        <w:rPr>
          <w:rFonts w:ascii="Arial" w:hAnsi="Arial" w:cs="Arial"/>
          <w:sz w:val="21"/>
          <w:szCs w:val="21"/>
        </w:rPr>
        <w:t xml:space="preserve">the </w:t>
      </w:r>
      <w:r w:rsidR="001F5F43">
        <w:rPr>
          <w:rFonts w:ascii="Arial" w:hAnsi="Arial" w:cs="Arial"/>
          <w:sz w:val="21"/>
          <w:szCs w:val="21"/>
        </w:rPr>
        <w:t>12</w:t>
      </w:r>
      <w:r>
        <w:rPr>
          <w:rFonts w:ascii="Arial" w:hAnsi="Arial" w:cs="Arial"/>
          <w:sz w:val="21"/>
          <w:szCs w:val="21"/>
        </w:rPr>
        <w:t xml:space="preserve"> economies currently have GHS in force (with some economies in transition).  Of </w:t>
      </w:r>
      <w:r w:rsidR="007548F5">
        <w:rPr>
          <w:rFonts w:ascii="Arial" w:hAnsi="Arial" w:cs="Arial"/>
          <w:sz w:val="21"/>
          <w:szCs w:val="21"/>
        </w:rPr>
        <w:t xml:space="preserve">the </w:t>
      </w:r>
      <w:r>
        <w:rPr>
          <w:rFonts w:ascii="Arial" w:hAnsi="Arial" w:cs="Arial"/>
          <w:sz w:val="21"/>
          <w:szCs w:val="21"/>
        </w:rPr>
        <w:t xml:space="preserve">remaining three economies, </w:t>
      </w:r>
      <w:r w:rsidR="001F5F43">
        <w:rPr>
          <w:rFonts w:ascii="Arial" w:hAnsi="Arial" w:cs="Arial"/>
          <w:sz w:val="21"/>
          <w:szCs w:val="21"/>
        </w:rPr>
        <w:t xml:space="preserve">the </w:t>
      </w:r>
      <w:r>
        <w:rPr>
          <w:rFonts w:ascii="Arial" w:hAnsi="Arial" w:cs="Arial"/>
          <w:sz w:val="21"/>
          <w:szCs w:val="21"/>
        </w:rPr>
        <w:t>Philippines is in the process of staged GHS implementation by substance groups, and in Russia</w:t>
      </w:r>
      <w:r w:rsidR="006B4A38">
        <w:rPr>
          <w:rFonts w:ascii="Arial" w:hAnsi="Arial" w:cs="Arial"/>
          <w:sz w:val="21"/>
          <w:szCs w:val="21"/>
        </w:rPr>
        <w:t>,</w:t>
      </w:r>
      <w:r>
        <w:rPr>
          <w:rFonts w:ascii="Arial" w:hAnsi="Arial" w:cs="Arial"/>
          <w:sz w:val="21"/>
          <w:szCs w:val="21"/>
        </w:rPr>
        <w:t xml:space="preserve"> GHS is currently implemented on a voluntary basis.  Hong Kong, China plans to implement GHS for Industrial Workplace but the details of implementation are yet to be finalised.</w:t>
      </w:r>
    </w:p>
    <w:p w:rsidR="00B7441A" w:rsidRDefault="00B7441A" w:rsidP="00B7441A">
      <w:pPr>
        <w:spacing w:after="0" w:line="240" w:lineRule="auto"/>
        <w:jc w:val="both"/>
        <w:rPr>
          <w:rFonts w:ascii="Arial" w:hAnsi="Arial" w:cs="Arial"/>
          <w:sz w:val="21"/>
          <w:szCs w:val="21"/>
        </w:rPr>
      </w:pPr>
    </w:p>
    <w:p w:rsidR="00B7441A" w:rsidRDefault="00B7441A" w:rsidP="00B7441A">
      <w:pPr>
        <w:spacing w:after="0" w:line="240" w:lineRule="auto"/>
        <w:jc w:val="both"/>
        <w:rPr>
          <w:rFonts w:ascii="Arial" w:hAnsi="Arial" w:cs="Arial"/>
          <w:sz w:val="21"/>
          <w:szCs w:val="21"/>
        </w:rPr>
      </w:pPr>
      <w:r>
        <w:rPr>
          <w:rFonts w:ascii="Arial" w:hAnsi="Arial" w:cs="Arial"/>
          <w:sz w:val="21"/>
          <w:szCs w:val="21"/>
        </w:rPr>
        <w:t>The challenges and concerns identified in this report mirrors the challenges raised in previous reports.  These include:</w:t>
      </w:r>
    </w:p>
    <w:p w:rsidR="00B7441A" w:rsidRDefault="00B7441A" w:rsidP="00A55AC8">
      <w:pPr>
        <w:numPr>
          <w:ilvl w:val="0"/>
          <w:numId w:val="2"/>
        </w:numPr>
        <w:spacing w:after="0" w:line="240" w:lineRule="auto"/>
        <w:jc w:val="both"/>
        <w:rPr>
          <w:rFonts w:ascii="Arial" w:hAnsi="Arial" w:cs="Arial"/>
          <w:sz w:val="21"/>
          <w:szCs w:val="21"/>
        </w:rPr>
      </w:pPr>
      <w:r>
        <w:rPr>
          <w:rFonts w:ascii="Arial" w:hAnsi="Arial" w:cs="Arial"/>
          <w:sz w:val="21"/>
          <w:szCs w:val="21"/>
        </w:rPr>
        <w:t>Different “building blocks” being implemented by different economies leading to divergent implementation of GHS.</w:t>
      </w:r>
    </w:p>
    <w:p w:rsidR="00CA3BE5" w:rsidRDefault="00CA3BE5" w:rsidP="00A55AC8">
      <w:pPr>
        <w:numPr>
          <w:ilvl w:val="0"/>
          <w:numId w:val="2"/>
        </w:numPr>
        <w:spacing w:after="0" w:line="240" w:lineRule="auto"/>
        <w:jc w:val="both"/>
        <w:rPr>
          <w:rFonts w:ascii="Arial" w:hAnsi="Arial" w:cs="Arial"/>
          <w:sz w:val="21"/>
          <w:szCs w:val="21"/>
        </w:rPr>
      </w:pPr>
      <w:r>
        <w:rPr>
          <w:rFonts w:ascii="Arial" w:hAnsi="Arial" w:cs="Arial"/>
          <w:sz w:val="21"/>
          <w:szCs w:val="21"/>
        </w:rPr>
        <w:t>Different editions of GHS being implemented by different economies.</w:t>
      </w:r>
    </w:p>
    <w:p w:rsidR="00B7441A" w:rsidRDefault="00B7441A" w:rsidP="00A55AC8">
      <w:pPr>
        <w:numPr>
          <w:ilvl w:val="0"/>
          <w:numId w:val="2"/>
        </w:numPr>
        <w:spacing w:after="0" w:line="240" w:lineRule="auto"/>
        <w:jc w:val="both"/>
        <w:rPr>
          <w:rFonts w:ascii="Arial" w:hAnsi="Arial" w:cs="Arial"/>
          <w:sz w:val="21"/>
          <w:szCs w:val="21"/>
        </w:rPr>
      </w:pPr>
      <w:r>
        <w:rPr>
          <w:rFonts w:ascii="Arial" w:hAnsi="Arial" w:cs="Arial"/>
          <w:sz w:val="21"/>
          <w:szCs w:val="21"/>
        </w:rPr>
        <w:t>Need for capacity building – shortage of expertise in SMEs, and in regulatory agencies for enforcement.</w:t>
      </w:r>
    </w:p>
    <w:p w:rsidR="00B7441A" w:rsidRDefault="00B7441A" w:rsidP="00A55AC8">
      <w:pPr>
        <w:numPr>
          <w:ilvl w:val="0"/>
          <w:numId w:val="2"/>
        </w:numPr>
        <w:spacing w:after="0" w:line="240" w:lineRule="auto"/>
        <w:jc w:val="both"/>
        <w:rPr>
          <w:rFonts w:ascii="Arial" w:hAnsi="Arial" w:cs="Arial"/>
          <w:sz w:val="21"/>
          <w:szCs w:val="21"/>
        </w:rPr>
      </w:pPr>
      <w:r>
        <w:rPr>
          <w:rFonts w:ascii="Arial" w:hAnsi="Arial" w:cs="Arial"/>
          <w:sz w:val="21"/>
          <w:szCs w:val="21"/>
        </w:rPr>
        <w:t>Discrepancies in classifications of the same chemical by different economies.</w:t>
      </w:r>
    </w:p>
    <w:p w:rsidR="00B7441A" w:rsidRDefault="00B7441A" w:rsidP="00A55AC8">
      <w:pPr>
        <w:numPr>
          <w:ilvl w:val="0"/>
          <w:numId w:val="2"/>
        </w:numPr>
        <w:spacing w:after="0" w:line="240" w:lineRule="auto"/>
        <w:jc w:val="both"/>
        <w:rPr>
          <w:rFonts w:ascii="Arial" w:hAnsi="Arial" w:cs="Arial"/>
          <w:sz w:val="21"/>
          <w:szCs w:val="21"/>
        </w:rPr>
      </w:pPr>
      <w:r>
        <w:rPr>
          <w:rFonts w:ascii="Arial" w:hAnsi="Arial" w:cs="Arial"/>
          <w:sz w:val="21"/>
          <w:szCs w:val="21"/>
        </w:rPr>
        <w:t>International GHS implementation schedule not being aligned.</w:t>
      </w:r>
    </w:p>
    <w:p w:rsidR="00B7441A" w:rsidRDefault="00B7441A" w:rsidP="00A55AC8">
      <w:pPr>
        <w:spacing w:after="0" w:line="240" w:lineRule="auto"/>
        <w:jc w:val="both"/>
        <w:rPr>
          <w:rFonts w:ascii="Arial" w:hAnsi="Arial" w:cs="Arial"/>
          <w:sz w:val="21"/>
          <w:szCs w:val="21"/>
        </w:rPr>
      </w:pPr>
    </w:p>
    <w:p w:rsidR="00B7441A" w:rsidRPr="001F5F43" w:rsidRDefault="001F5F43" w:rsidP="00A55AC8">
      <w:pPr>
        <w:spacing w:after="0" w:line="240" w:lineRule="auto"/>
        <w:jc w:val="both"/>
        <w:rPr>
          <w:rFonts w:ascii="Arial" w:hAnsi="Arial" w:cs="Arial"/>
          <w:sz w:val="21"/>
          <w:szCs w:val="21"/>
        </w:rPr>
      </w:pPr>
      <w:r w:rsidRPr="001F5F43">
        <w:rPr>
          <w:rFonts w:ascii="Arial" w:hAnsi="Arial" w:cs="Arial"/>
          <w:sz w:val="21"/>
          <w:szCs w:val="21"/>
        </w:rPr>
        <w:t xml:space="preserve">New issues </w:t>
      </w:r>
      <w:r w:rsidR="00B7441A" w:rsidRPr="001F5F43">
        <w:rPr>
          <w:rFonts w:ascii="Arial" w:hAnsi="Arial" w:cs="Arial"/>
          <w:sz w:val="21"/>
          <w:szCs w:val="21"/>
        </w:rPr>
        <w:t xml:space="preserve">were </w:t>
      </w:r>
      <w:r w:rsidR="006B4A38" w:rsidRPr="001F5F43">
        <w:rPr>
          <w:rFonts w:ascii="Arial" w:hAnsi="Arial" w:cs="Arial"/>
          <w:sz w:val="21"/>
          <w:szCs w:val="21"/>
        </w:rPr>
        <w:t xml:space="preserve">also </w:t>
      </w:r>
      <w:r w:rsidR="00B7441A" w:rsidRPr="001F5F43">
        <w:rPr>
          <w:rFonts w:ascii="Arial" w:hAnsi="Arial" w:cs="Arial"/>
          <w:sz w:val="21"/>
          <w:szCs w:val="21"/>
        </w:rPr>
        <w:t>raised</w:t>
      </w:r>
      <w:r w:rsidR="006B4A38" w:rsidRPr="001F5F43">
        <w:rPr>
          <w:rFonts w:ascii="Arial" w:hAnsi="Arial" w:cs="Arial"/>
          <w:sz w:val="21"/>
          <w:szCs w:val="21"/>
        </w:rPr>
        <w:t>.  These</w:t>
      </w:r>
      <w:r w:rsidR="00B7441A" w:rsidRPr="001F5F43">
        <w:rPr>
          <w:rFonts w:ascii="Arial" w:hAnsi="Arial" w:cs="Arial"/>
          <w:sz w:val="21"/>
          <w:szCs w:val="21"/>
        </w:rPr>
        <w:t xml:space="preserve"> include:</w:t>
      </w:r>
    </w:p>
    <w:p w:rsidR="00B7441A" w:rsidRPr="001F5F43" w:rsidRDefault="00B7441A" w:rsidP="00A55AC8">
      <w:pPr>
        <w:numPr>
          <w:ilvl w:val="0"/>
          <w:numId w:val="5"/>
        </w:numPr>
        <w:spacing w:after="0" w:line="240" w:lineRule="auto"/>
        <w:jc w:val="both"/>
        <w:rPr>
          <w:rFonts w:ascii="Arial" w:hAnsi="Arial" w:cs="Arial"/>
          <w:sz w:val="21"/>
          <w:szCs w:val="21"/>
        </w:rPr>
      </w:pPr>
      <w:r w:rsidRPr="001F5F43">
        <w:rPr>
          <w:rFonts w:ascii="Arial" w:hAnsi="Arial" w:cs="Arial"/>
          <w:sz w:val="21"/>
          <w:szCs w:val="21"/>
        </w:rPr>
        <w:t>Difficulties with small package labelling, and</w:t>
      </w:r>
    </w:p>
    <w:p w:rsidR="001F5F43" w:rsidRDefault="00B7441A" w:rsidP="00A55AC8">
      <w:pPr>
        <w:pStyle w:val="ListParagraph"/>
        <w:numPr>
          <w:ilvl w:val="0"/>
          <w:numId w:val="5"/>
        </w:numPr>
        <w:jc w:val="both"/>
        <w:rPr>
          <w:rFonts w:ascii="Arial" w:hAnsi="Arial" w:cs="Arial"/>
          <w:sz w:val="21"/>
          <w:szCs w:val="21"/>
        </w:rPr>
      </w:pPr>
      <w:r w:rsidRPr="001F5F43">
        <w:rPr>
          <w:rFonts w:ascii="Arial" w:hAnsi="Arial" w:cs="Arial"/>
          <w:sz w:val="21"/>
          <w:szCs w:val="21"/>
        </w:rPr>
        <w:t>Keeping local legislatio</w:t>
      </w:r>
      <w:r w:rsidR="001F5F43" w:rsidRPr="001F5F43">
        <w:rPr>
          <w:rFonts w:ascii="Arial" w:hAnsi="Arial" w:cs="Arial"/>
          <w:sz w:val="21"/>
          <w:szCs w:val="21"/>
        </w:rPr>
        <w:t xml:space="preserve">n up to date with GHS revisions, </w:t>
      </w:r>
    </w:p>
    <w:p w:rsidR="00CA3BE5" w:rsidRDefault="00CA3BE5" w:rsidP="00A55AC8">
      <w:pPr>
        <w:pStyle w:val="ListParagraph"/>
        <w:numPr>
          <w:ilvl w:val="0"/>
          <w:numId w:val="5"/>
        </w:numPr>
        <w:jc w:val="both"/>
        <w:rPr>
          <w:rFonts w:ascii="Arial" w:hAnsi="Arial" w:cs="Arial"/>
          <w:sz w:val="21"/>
          <w:szCs w:val="21"/>
        </w:rPr>
      </w:pPr>
      <w:r>
        <w:rPr>
          <w:rFonts w:ascii="Arial" w:hAnsi="Arial" w:cs="Arial"/>
          <w:sz w:val="21"/>
          <w:szCs w:val="21"/>
        </w:rPr>
        <w:t>Unclear implementation plan and timeline for local legislation when updating to incorporate revised GHS editions,</w:t>
      </w:r>
    </w:p>
    <w:p w:rsidR="00CA3BE5" w:rsidRPr="001F5F43" w:rsidRDefault="00CA3BE5" w:rsidP="00A55AC8">
      <w:pPr>
        <w:pStyle w:val="ListParagraph"/>
        <w:numPr>
          <w:ilvl w:val="0"/>
          <w:numId w:val="5"/>
        </w:numPr>
        <w:jc w:val="both"/>
        <w:rPr>
          <w:rFonts w:ascii="Arial" w:hAnsi="Arial" w:cs="Arial"/>
          <w:sz w:val="21"/>
          <w:szCs w:val="21"/>
        </w:rPr>
      </w:pPr>
      <w:r>
        <w:rPr>
          <w:rFonts w:ascii="Arial" w:hAnsi="Arial" w:cs="Arial"/>
          <w:sz w:val="21"/>
          <w:szCs w:val="21"/>
        </w:rPr>
        <w:t xml:space="preserve">Implementation of non-GHS building blocks by some economies, </w:t>
      </w:r>
    </w:p>
    <w:p w:rsidR="001F5F43" w:rsidRPr="001F5F43" w:rsidRDefault="001F5F43" w:rsidP="00A55AC8">
      <w:pPr>
        <w:pStyle w:val="ListParagraph"/>
        <w:numPr>
          <w:ilvl w:val="0"/>
          <w:numId w:val="5"/>
        </w:numPr>
        <w:jc w:val="both"/>
        <w:rPr>
          <w:rFonts w:ascii="Arial" w:hAnsi="Arial" w:cs="Arial"/>
          <w:sz w:val="21"/>
          <w:szCs w:val="21"/>
        </w:rPr>
      </w:pPr>
      <w:r w:rsidRPr="001F5F43">
        <w:rPr>
          <w:rFonts w:ascii="Arial" w:hAnsi="Arial" w:cs="Arial"/>
          <w:sz w:val="21"/>
          <w:szCs w:val="21"/>
        </w:rPr>
        <w:t>Difficulty finding necessary GHS compliance information from some APEC economies, including restricted access to regulations, information, and/or websites</w:t>
      </w:r>
    </w:p>
    <w:p w:rsidR="00A55AC8" w:rsidRDefault="001F5F43" w:rsidP="00A55AC8">
      <w:pPr>
        <w:pStyle w:val="ListParagraph"/>
        <w:numPr>
          <w:ilvl w:val="0"/>
          <w:numId w:val="5"/>
        </w:numPr>
        <w:jc w:val="both"/>
        <w:rPr>
          <w:rFonts w:ascii="Arial" w:hAnsi="Arial" w:cs="Arial"/>
          <w:sz w:val="21"/>
          <w:szCs w:val="21"/>
        </w:rPr>
      </w:pPr>
      <w:r w:rsidRPr="001F5F43">
        <w:rPr>
          <w:rFonts w:ascii="Arial" w:hAnsi="Arial" w:cs="Arial"/>
          <w:sz w:val="21"/>
          <w:szCs w:val="21"/>
        </w:rPr>
        <w:t>Country requirements that include all options for mixture cut-off values without specifying which is appropriate for compliance</w:t>
      </w:r>
      <w:r w:rsidR="00A55AC8" w:rsidRPr="001F5F43">
        <w:rPr>
          <w:rFonts w:ascii="Arial" w:hAnsi="Arial" w:cs="Arial"/>
          <w:sz w:val="21"/>
          <w:szCs w:val="21"/>
        </w:rPr>
        <w:t>, and</w:t>
      </w:r>
    </w:p>
    <w:p w:rsidR="00A55AC8" w:rsidRPr="00A55AC8" w:rsidRDefault="00A55AC8" w:rsidP="00A55AC8">
      <w:pPr>
        <w:pStyle w:val="ListParagraph"/>
        <w:numPr>
          <w:ilvl w:val="0"/>
          <w:numId w:val="5"/>
        </w:numPr>
        <w:jc w:val="both"/>
        <w:rPr>
          <w:rFonts w:ascii="Arial" w:hAnsi="Arial" w:cs="Arial"/>
          <w:sz w:val="21"/>
          <w:szCs w:val="21"/>
        </w:rPr>
      </w:pPr>
      <w:r>
        <w:rPr>
          <w:rFonts w:ascii="Arial" w:hAnsi="Arial" w:cs="Arial"/>
          <w:sz w:val="21"/>
          <w:szCs w:val="21"/>
        </w:rPr>
        <w:t>Divergence in the SDS requirements from GHS SDS format by different regulatory bodies</w:t>
      </w:r>
      <w:r w:rsidR="001F5F43">
        <w:rPr>
          <w:rFonts w:ascii="Arial" w:hAnsi="Arial" w:cs="Arial"/>
          <w:sz w:val="21"/>
          <w:szCs w:val="21"/>
        </w:rPr>
        <w:t>.</w:t>
      </w:r>
    </w:p>
    <w:p w:rsidR="00B7441A" w:rsidRDefault="00B7441A" w:rsidP="00B7441A">
      <w:pPr>
        <w:spacing w:after="0" w:line="240" w:lineRule="auto"/>
        <w:jc w:val="both"/>
        <w:rPr>
          <w:rFonts w:ascii="Arial" w:hAnsi="Arial" w:cs="Arial"/>
          <w:bCs/>
          <w:sz w:val="21"/>
          <w:szCs w:val="21"/>
          <w:lang w:val="en-US"/>
        </w:rPr>
      </w:pPr>
    </w:p>
    <w:p w:rsidR="007A4D46" w:rsidRPr="007A4D46" w:rsidRDefault="007A4D46" w:rsidP="00B7441A">
      <w:pPr>
        <w:spacing w:after="0" w:line="240" w:lineRule="auto"/>
        <w:jc w:val="both"/>
        <w:rPr>
          <w:rFonts w:ascii="Arial" w:hAnsi="Arial" w:cs="Arial"/>
          <w:bCs/>
          <w:sz w:val="21"/>
          <w:szCs w:val="21"/>
          <w:lang w:val="en-US"/>
        </w:rPr>
      </w:pPr>
      <w:r w:rsidRPr="007A4D46">
        <w:rPr>
          <w:rFonts w:ascii="Arial" w:hAnsi="Arial" w:cs="Arial"/>
          <w:bCs/>
          <w:sz w:val="21"/>
          <w:szCs w:val="21"/>
          <w:lang w:val="en-US"/>
        </w:rPr>
        <w:t xml:space="preserve">The </w:t>
      </w:r>
      <w:r w:rsidR="0032737A">
        <w:rPr>
          <w:rFonts w:ascii="Arial" w:hAnsi="Arial" w:cs="Arial"/>
          <w:bCs/>
          <w:sz w:val="21"/>
          <w:szCs w:val="21"/>
          <w:lang w:val="en-US"/>
        </w:rPr>
        <w:t>American Petroleum Institute (</w:t>
      </w:r>
      <w:r w:rsidRPr="007A4D46">
        <w:rPr>
          <w:rFonts w:ascii="Arial" w:hAnsi="Arial" w:cs="Arial"/>
          <w:bCs/>
          <w:sz w:val="21"/>
          <w:szCs w:val="21"/>
          <w:lang w:val="en-US"/>
        </w:rPr>
        <w:t>API</w:t>
      </w:r>
      <w:r w:rsidR="0032737A">
        <w:rPr>
          <w:rFonts w:ascii="Arial" w:hAnsi="Arial" w:cs="Arial"/>
          <w:bCs/>
          <w:sz w:val="21"/>
          <w:szCs w:val="21"/>
          <w:lang w:val="en-US"/>
        </w:rPr>
        <w:t>)</w:t>
      </w:r>
      <w:r w:rsidRPr="007A4D46">
        <w:rPr>
          <w:rFonts w:ascii="Arial" w:hAnsi="Arial" w:cs="Arial"/>
          <w:bCs/>
          <w:sz w:val="21"/>
          <w:szCs w:val="21"/>
          <w:lang w:val="en-US"/>
        </w:rPr>
        <w:t xml:space="preserve"> in particular has raised significant concerns with the process of </w:t>
      </w:r>
      <w:r>
        <w:rPr>
          <w:rFonts w:ascii="Arial" w:hAnsi="Arial" w:cs="Arial"/>
          <w:bCs/>
          <w:sz w:val="21"/>
          <w:szCs w:val="21"/>
          <w:lang w:val="en-US"/>
        </w:rPr>
        <w:t xml:space="preserve">GHS implementation in the USA. </w:t>
      </w:r>
      <w:r w:rsidRPr="007A4D46">
        <w:rPr>
          <w:rFonts w:ascii="Arial" w:hAnsi="Arial" w:cs="Arial"/>
          <w:sz w:val="21"/>
          <w:szCs w:val="21"/>
        </w:rPr>
        <w:t xml:space="preserve">The United States Occupational Safety and Health Administration </w:t>
      </w:r>
      <w:r w:rsidR="0032737A">
        <w:rPr>
          <w:rFonts w:ascii="Arial" w:hAnsi="Arial" w:cs="Arial"/>
          <w:sz w:val="21"/>
          <w:szCs w:val="21"/>
        </w:rPr>
        <w:t xml:space="preserve">(OSHA) </w:t>
      </w:r>
      <w:r w:rsidRPr="007A4D46">
        <w:rPr>
          <w:rFonts w:ascii="Arial" w:hAnsi="Arial" w:cs="Arial"/>
          <w:sz w:val="21"/>
          <w:szCs w:val="21"/>
        </w:rPr>
        <w:t xml:space="preserve">published requirements to implement the GHS on </w:t>
      </w:r>
      <w:r>
        <w:rPr>
          <w:rFonts w:ascii="Arial" w:hAnsi="Arial" w:cs="Arial"/>
          <w:sz w:val="21"/>
          <w:szCs w:val="21"/>
        </w:rPr>
        <w:t>26 March</w:t>
      </w:r>
      <w:r w:rsidRPr="007A4D46">
        <w:rPr>
          <w:rFonts w:ascii="Arial" w:hAnsi="Arial" w:cs="Arial"/>
          <w:sz w:val="21"/>
          <w:szCs w:val="21"/>
        </w:rPr>
        <w:t xml:space="preserve"> 2012, and recently published guidance on hazard classification and weight of evidence determinations. </w:t>
      </w:r>
      <w:r>
        <w:rPr>
          <w:rFonts w:ascii="Arial" w:hAnsi="Arial" w:cs="Arial"/>
          <w:sz w:val="21"/>
          <w:szCs w:val="21"/>
        </w:rPr>
        <w:t xml:space="preserve"> It is understood that the United States i</w:t>
      </w:r>
      <w:r w:rsidRPr="007A4D46">
        <w:rPr>
          <w:rFonts w:ascii="Arial" w:hAnsi="Arial" w:cs="Arial"/>
          <w:sz w:val="21"/>
          <w:szCs w:val="21"/>
        </w:rPr>
        <w:t>ndustry has expressed several concerns with these requirements, including but not limited to Compliance Directives being unavailable in time for use in compliance strategies, the lack of timeframe for aligning with GHS, and no publication yet of letters of interpretation.</w:t>
      </w:r>
    </w:p>
    <w:p w:rsidR="007A4D46" w:rsidRPr="001F5F43" w:rsidRDefault="007A4D46" w:rsidP="00B7441A">
      <w:pPr>
        <w:spacing w:after="0" w:line="240" w:lineRule="auto"/>
        <w:jc w:val="both"/>
        <w:rPr>
          <w:rFonts w:ascii="Arial" w:hAnsi="Arial" w:cs="Arial"/>
          <w:bCs/>
          <w:sz w:val="21"/>
          <w:szCs w:val="21"/>
          <w:lang w:val="en-US"/>
        </w:rPr>
      </w:pPr>
    </w:p>
    <w:p w:rsidR="00B7441A" w:rsidRDefault="00B7441A" w:rsidP="00B7441A">
      <w:pPr>
        <w:spacing w:after="0" w:line="240" w:lineRule="auto"/>
        <w:jc w:val="both"/>
        <w:rPr>
          <w:rFonts w:ascii="Arial" w:hAnsi="Arial" w:cs="Arial"/>
          <w:bCs/>
          <w:sz w:val="21"/>
          <w:szCs w:val="21"/>
          <w:lang w:val="en-US"/>
        </w:rPr>
      </w:pPr>
      <w:r w:rsidRPr="001F5F43">
        <w:rPr>
          <w:rFonts w:ascii="Arial" w:hAnsi="Arial" w:cs="Arial"/>
          <w:bCs/>
          <w:sz w:val="21"/>
          <w:szCs w:val="21"/>
          <w:lang w:val="en-US"/>
        </w:rPr>
        <w:t xml:space="preserve">It should be noted that despite the challenges to GHS implementation </w:t>
      </w:r>
      <w:r w:rsidR="007548F5" w:rsidRPr="001F5F43">
        <w:rPr>
          <w:rFonts w:ascii="Arial" w:hAnsi="Arial" w:cs="Arial"/>
          <w:bCs/>
          <w:sz w:val="21"/>
          <w:szCs w:val="21"/>
          <w:lang w:val="en-US"/>
        </w:rPr>
        <w:t>being raised for several years i</w:t>
      </w:r>
      <w:r w:rsidRPr="001F5F43">
        <w:rPr>
          <w:rFonts w:ascii="Arial" w:hAnsi="Arial" w:cs="Arial"/>
          <w:bCs/>
          <w:sz w:val="21"/>
          <w:szCs w:val="21"/>
          <w:lang w:val="en-US"/>
        </w:rPr>
        <w:t>n a row, and GHS ha</w:t>
      </w:r>
      <w:r w:rsidR="006B4A38" w:rsidRPr="001F5F43">
        <w:rPr>
          <w:rFonts w:ascii="Arial" w:hAnsi="Arial" w:cs="Arial"/>
          <w:bCs/>
          <w:sz w:val="21"/>
          <w:szCs w:val="21"/>
          <w:lang w:val="en-US"/>
        </w:rPr>
        <w:t>ving been fully implemented in the</w:t>
      </w:r>
      <w:r w:rsidRPr="001F5F43">
        <w:rPr>
          <w:rFonts w:ascii="Arial" w:hAnsi="Arial" w:cs="Arial"/>
          <w:bCs/>
          <w:sz w:val="21"/>
          <w:szCs w:val="21"/>
          <w:lang w:val="en-US"/>
        </w:rPr>
        <w:t xml:space="preserve"> majority of economies providing implementation information, </w:t>
      </w:r>
      <w:r w:rsidR="006B4A38" w:rsidRPr="001F5F43">
        <w:rPr>
          <w:rFonts w:ascii="Arial" w:hAnsi="Arial" w:cs="Arial"/>
          <w:bCs/>
          <w:sz w:val="21"/>
          <w:szCs w:val="21"/>
          <w:lang w:val="en-US"/>
        </w:rPr>
        <w:t xml:space="preserve">it appears that </w:t>
      </w:r>
      <w:r w:rsidRPr="001F5F43">
        <w:rPr>
          <w:rFonts w:ascii="Arial" w:hAnsi="Arial" w:cs="Arial"/>
          <w:bCs/>
          <w:sz w:val="21"/>
          <w:szCs w:val="21"/>
          <w:lang w:val="en-US"/>
        </w:rPr>
        <w:t xml:space="preserve">solutions </w:t>
      </w:r>
      <w:r w:rsidR="006B4A38" w:rsidRPr="001F5F43">
        <w:rPr>
          <w:rFonts w:ascii="Arial" w:hAnsi="Arial" w:cs="Arial"/>
          <w:bCs/>
          <w:sz w:val="21"/>
          <w:szCs w:val="21"/>
          <w:lang w:val="en-US"/>
        </w:rPr>
        <w:t xml:space="preserve">have not been </w:t>
      </w:r>
      <w:r w:rsidRPr="001F5F43">
        <w:rPr>
          <w:rFonts w:ascii="Arial" w:hAnsi="Arial" w:cs="Arial"/>
          <w:bCs/>
          <w:sz w:val="21"/>
          <w:szCs w:val="21"/>
          <w:lang w:val="en-US"/>
        </w:rPr>
        <w:t>implemented at the APEC economy level.  While APEC CD has been working towards solutions to issues identified, it may be time for a comprehensive review and discussion o</w:t>
      </w:r>
      <w:r w:rsidR="006B4A38" w:rsidRPr="001F5F43">
        <w:rPr>
          <w:rFonts w:ascii="Arial" w:hAnsi="Arial" w:cs="Arial"/>
          <w:bCs/>
          <w:sz w:val="21"/>
          <w:szCs w:val="21"/>
          <w:lang w:val="en-US"/>
        </w:rPr>
        <w:t>n</w:t>
      </w:r>
      <w:r w:rsidRPr="001F5F43">
        <w:rPr>
          <w:rFonts w:ascii="Arial" w:hAnsi="Arial" w:cs="Arial"/>
          <w:bCs/>
          <w:sz w:val="21"/>
          <w:szCs w:val="21"/>
          <w:lang w:val="en-US"/>
        </w:rPr>
        <w:t xml:space="preserve"> pragmatic solutions that </w:t>
      </w:r>
      <w:r w:rsidR="006B4A38" w:rsidRPr="001F5F43">
        <w:rPr>
          <w:rFonts w:ascii="Arial" w:hAnsi="Arial" w:cs="Arial"/>
          <w:bCs/>
          <w:sz w:val="21"/>
          <w:szCs w:val="21"/>
          <w:lang w:val="en-US"/>
        </w:rPr>
        <w:t>may</w:t>
      </w:r>
      <w:r w:rsidRPr="001F5F43">
        <w:rPr>
          <w:rFonts w:ascii="Arial" w:hAnsi="Arial" w:cs="Arial"/>
          <w:bCs/>
          <w:sz w:val="21"/>
          <w:szCs w:val="21"/>
          <w:lang w:val="en-US"/>
        </w:rPr>
        <w:t xml:space="preserve"> be agreed upon at the APEC level, and implemented at the economy</w:t>
      </w:r>
      <w:r>
        <w:rPr>
          <w:rFonts w:ascii="Arial" w:hAnsi="Arial" w:cs="Arial"/>
          <w:bCs/>
          <w:sz w:val="21"/>
          <w:szCs w:val="21"/>
          <w:lang w:val="en-US"/>
        </w:rPr>
        <w:t xml:space="preserve"> level.</w:t>
      </w:r>
    </w:p>
    <w:p w:rsidR="00A55AC8" w:rsidRDefault="00A55AC8" w:rsidP="00B7441A">
      <w:pPr>
        <w:spacing w:after="0" w:line="240" w:lineRule="auto"/>
        <w:jc w:val="both"/>
        <w:rPr>
          <w:rFonts w:ascii="Arial" w:hAnsi="Arial" w:cs="Arial"/>
          <w:bCs/>
          <w:sz w:val="21"/>
          <w:szCs w:val="21"/>
          <w:lang w:val="en-US"/>
        </w:rPr>
      </w:pPr>
    </w:p>
    <w:p w:rsidR="00A55AC8" w:rsidRDefault="00A55AC8" w:rsidP="00B7441A">
      <w:pPr>
        <w:spacing w:after="0" w:line="240" w:lineRule="auto"/>
        <w:jc w:val="both"/>
        <w:rPr>
          <w:rFonts w:ascii="Arial" w:hAnsi="Arial" w:cs="Arial"/>
          <w:bCs/>
          <w:sz w:val="21"/>
          <w:szCs w:val="21"/>
          <w:lang w:val="en-US"/>
        </w:rPr>
      </w:pPr>
      <w:r>
        <w:rPr>
          <w:rFonts w:ascii="Arial" w:hAnsi="Arial" w:cs="Arial"/>
          <w:bCs/>
          <w:sz w:val="21"/>
          <w:szCs w:val="21"/>
          <w:lang w:val="en-US"/>
        </w:rPr>
        <w:t>While the VWG has progressed several projects identifying and proposing solutions to GHS implementation, the lack of government involvement from APEC economies is a significant barrier in the proposed solutions being considered for implementation at the economy level.  Currently, there is one government representative from Singapore participating in the work of the VWG.</w:t>
      </w:r>
    </w:p>
    <w:p w:rsidR="007548F5" w:rsidRDefault="007548F5" w:rsidP="00B7441A">
      <w:pPr>
        <w:spacing w:after="0" w:line="240" w:lineRule="auto"/>
        <w:jc w:val="both"/>
        <w:rPr>
          <w:rFonts w:ascii="Arial" w:hAnsi="Arial" w:cs="Arial"/>
          <w:bCs/>
          <w:sz w:val="21"/>
          <w:szCs w:val="21"/>
          <w:lang w:val="en-US"/>
        </w:rPr>
      </w:pPr>
    </w:p>
    <w:p w:rsidR="007548F5" w:rsidRDefault="007548F5" w:rsidP="00B7441A">
      <w:pPr>
        <w:spacing w:after="0" w:line="240" w:lineRule="auto"/>
        <w:jc w:val="both"/>
        <w:rPr>
          <w:rFonts w:ascii="Arial" w:hAnsi="Arial" w:cs="Arial"/>
          <w:bCs/>
          <w:sz w:val="21"/>
          <w:szCs w:val="21"/>
          <w:lang w:val="en-US"/>
        </w:rPr>
      </w:pPr>
      <w:r>
        <w:rPr>
          <w:rFonts w:ascii="Arial" w:hAnsi="Arial" w:cs="Arial"/>
          <w:bCs/>
          <w:sz w:val="21"/>
          <w:szCs w:val="21"/>
          <w:lang w:val="en-US"/>
        </w:rPr>
        <w:t>Should the Mexico proposal for a GHS workshop be successfully funded, this may provide an opportunity for a comprehensive review and discussion of issues identified through the GHS Implementation Status Reports</w:t>
      </w:r>
      <w:r w:rsidR="00A55AC8">
        <w:rPr>
          <w:rFonts w:ascii="Arial" w:hAnsi="Arial" w:cs="Arial"/>
          <w:bCs/>
          <w:sz w:val="21"/>
          <w:szCs w:val="21"/>
          <w:lang w:val="en-US"/>
        </w:rPr>
        <w:t>, where governments and industry can both equally contribute to a discussion on potential, pragmatic solutions</w:t>
      </w:r>
      <w:r>
        <w:rPr>
          <w:rFonts w:ascii="Arial" w:hAnsi="Arial" w:cs="Arial"/>
          <w:bCs/>
          <w:sz w:val="21"/>
          <w:szCs w:val="21"/>
          <w:lang w:val="en-US"/>
        </w:rPr>
        <w:t xml:space="preserve">.  This could lead to </w:t>
      </w:r>
      <w:r w:rsidR="00A55AC8">
        <w:rPr>
          <w:rFonts w:ascii="Arial" w:hAnsi="Arial" w:cs="Arial"/>
          <w:bCs/>
          <w:sz w:val="21"/>
          <w:szCs w:val="21"/>
          <w:lang w:val="en-US"/>
        </w:rPr>
        <w:t xml:space="preserve">implementation of </w:t>
      </w:r>
      <w:r>
        <w:rPr>
          <w:rFonts w:ascii="Arial" w:hAnsi="Arial" w:cs="Arial"/>
          <w:bCs/>
          <w:sz w:val="21"/>
          <w:szCs w:val="21"/>
          <w:lang w:val="en-US"/>
        </w:rPr>
        <w:t xml:space="preserve">solutions </w:t>
      </w:r>
      <w:r w:rsidR="00A55AC8">
        <w:rPr>
          <w:rFonts w:ascii="Arial" w:hAnsi="Arial" w:cs="Arial"/>
          <w:bCs/>
          <w:sz w:val="21"/>
          <w:szCs w:val="21"/>
          <w:lang w:val="en-US"/>
        </w:rPr>
        <w:t xml:space="preserve">to GHS implementation issues </w:t>
      </w:r>
      <w:r>
        <w:rPr>
          <w:rFonts w:ascii="Arial" w:hAnsi="Arial" w:cs="Arial"/>
          <w:bCs/>
          <w:sz w:val="21"/>
          <w:szCs w:val="21"/>
          <w:lang w:val="en-US"/>
        </w:rPr>
        <w:t>for the APEC CD economies.</w:t>
      </w:r>
    </w:p>
    <w:p w:rsidR="0032737A" w:rsidRDefault="0032737A" w:rsidP="00B7441A">
      <w:pPr>
        <w:spacing w:after="0" w:line="240" w:lineRule="auto"/>
        <w:jc w:val="both"/>
        <w:rPr>
          <w:rFonts w:ascii="Arial" w:hAnsi="Arial" w:cs="Arial"/>
          <w:bCs/>
          <w:sz w:val="21"/>
          <w:szCs w:val="21"/>
          <w:lang w:val="en-US"/>
        </w:rPr>
      </w:pPr>
    </w:p>
    <w:p w:rsidR="0032737A" w:rsidRDefault="0032737A" w:rsidP="00B7441A">
      <w:pPr>
        <w:spacing w:after="0" w:line="240" w:lineRule="auto"/>
        <w:jc w:val="both"/>
        <w:rPr>
          <w:rFonts w:ascii="Arial" w:hAnsi="Arial" w:cs="Arial"/>
          <w:bCs/>
          <w:sz w:val="21"/>
          <w:szCs w:val="21"/>
          <w:lang w:val="en-US"/>
        </w:rPr>
      </w:pPr>
      <w:r>
        <w:rPr>
          <w:rFonts w:ascii="Arial" w:hAnsi="Arial" w:cs="Arial"/>
          <w:bCs/>
          <w:sz w:val="21"/>
          <w:szCs w:val="21"/>
          <w:lang w:val="en-US"/>
        </w:rPr>
        <w:t>Consideration of solutions for GHS implementation issues for the workplace can also include implementation assistance and training material for the APEC region, including but not limited to:</w:t>
      </w:r>
    </w:p>
    <w:p w:rsidR="0032737A" w:rsidRDefault="0032737A" w:rsidP="0032737A">
      <w:pPr>
        <w:pStyle w:val="ListParagraph"/>
        <w:numPr>
          <w:ilvl w:val="0"/>
          <w:numId w:val="11"/>
        </w:numPr>
        <w:jc w:val="both"/>
        <w:rPr>
          <w:rFonts w:ascii="Arial" w:hAnsi="Arial" w:cs="Arial"/>
          <w:bCs/>
          <w:sz w:val="21"/>
          <w:szCs w:val="21"/>
        </w:rPr>
      </w:pPr>
      <w:r>
        <w:rPr>
          <w:rFonts w:ascii="Arial" w:hAnsi="Arial" w:cs="Arial"/>
          <w:bCs/>
          <w:sz w:val="21"/>
          <w:szCs w:val="21"/>
        </w:rPr>
        <w:t>Electronic guidance learning tools with modules for awareness training, classification of chemicals and training on recognition and use of pictograms,</w:t>
      </w:r>
    </w:p>
    <w:p w:rsidR="0032737A" w:rsidRDefault="0032737A" w:rsidP="0032737A">
      <w:pPr>
        <w:pStyle w:val="ListParagraph"/>
        <w:numPr>
          <w:ilvl w:val="0"/>
          <w:numId w:val="11"/>
        </w:numPr>
        <w:jc w:val="both"/>
        <w:rPr>
          <w:rFonts w:ascii="Arial" w:hAnsi="Arial" w:cs="Arial"/>
          <w:bCs/>
          <w:sz w:val="21"/>
          <w:szCs w:val="21"/>
        </w:rPr>
      </w:pPr>
      <w:r>
        <w:rPr>
          <w:rFonts w:ascii="Arial" w:hAnsi="Arial" w:cs="Arial"/>
          <w:bCs/>
          <w:sz w:val="21"/>
          <w:szCs w:val="21"/>
        </w:rPr>
        <w:t>Posters with summary of GHS elements and what they mean, and</w:t>
      </w:r>
    </w:p>
    <w:p w:rsidR="0032737A" w:rsidRPr="0032737A" w:rsidRDefault="0032737A" w:rsidP="0032737A">
      <w:pPr>
        <w:pStyle w:val="ListParagraph"/>
        <w:numPr>
          <w:ilvl w:val="0"/>
          <w:numId w:val="11"/>
        </w:numPr>
        <w:jc w:val="both"/>
        <w:rPr>
          <w:rFonts w:ascii="Arial" w:hAnsi="Arial" w:cs="Arial"/>
          <w:bCs/>
          <w:sz w:val="21"/>
          <w:szCs w:val="21"/>
        </w:rPr>
      </w:pPr>
      <w:r>
        <w:rPr>
          <w:rFonts w:ascii="Arial" w:hAnsi="Arial" w:cs="Arial"/>
          <w:bCs/>
          <w:sz w:val="21"/>
          <w:szCs w:val="21"/>
        </w:rPr>
        <w:t>A reference table with different GHS requirements on the region (and potentially globally).</w:t>
      </w:r>
    </w:p>
    <w:p w:rsidR="00B7441A" w:rsidRDefault="00B7441A" w:rsidP="00B7441A">
      <w:pPr>
        <w:spacing w:after="0" w:line="240" w:lineRule="auto"/>
        <w:jc w:val="both"/>
        <w:rPr>
          <w:rFonts w:ascii="Arial" w:hAnsi="Arial" w:cs="Arial"/>
          <w:bCs/>
          <w:sz w:val="21"/>
          <w:szCs w:val="21"/>
          <w:lang w:val="en-US"/>
        </w:rPr>
      </w:pPr>
    </w:p>
    <w:p w:rsidR="00B7441A" w:rsidRDefault="00B7441A" w:rsidP="00B7441A">
      <w:pPr>
        <w:spacing w:after="0" w:line="240" w:lineRule="auto"/>
        <w:jc w:val="both"/>
        <w:rPr>
          <w:rFonts w:ascii="Arial" w:hAnsi="Arial" w:cs="Arial"/>
          <w:sz w:val="21"/>
          <w:szCs w:val="21"/>
          <w:u w:val="single"/>
        </w:rPr>
      </w:pPr>
      <w:r w:rsidRPr="004D61B7">
        <w:rPr>
          <w:rFonts w:ascii="Arial" w:hAnsi="Arial" w:cs="Arial"/>
          <w:bCs/>
          <w:sz w:val="21"/>
          <w:szCs w:val="21"/>
          <w:u w:val="single"/>
        </w:rPr>
        <w:t>Consumer</w:t>
      </w:r>
      <w:r w:rsidRPr="004D61B7">
        <w:rPr>
          <w:rFonts w:ascii="Arial" w:hAnsi="Arial" w:cs="Arial"/>
          <w:sz w:val="21"/>
          <w:szCs w:val="21"/>
          <w:u w:val="single"/>
        </w:rPr>
        <w:t xml:space="preserve"> </w:t>
      </w:r>
    </w:p>
    <w:p w:rsidR="00B7441A" w:rsidRPr="004D61B7" w:rsidRDefault="00B7441A" w:rsidP="00B7441A">
      <w:pPr>
        <w:spacing w:after="0" w:line="240" w:lineRule="auto"/>
        <w:jc w:val="both"/>
        <w:rPr>
          <w:rFonts w:ascii="Arial" w:hAnsi="Arial" w:cs="Arial"/>
          <w:sz w:val="21"/>
          <w:szCs w:val="21"/>
          <w:u w:val="single"/>
        </w:rPr>
      </w:pPr>
    </w:p>
    <w:p w:rsidR="00B7441A" w:rsidRDefault="00B7441A" w:rsidP="00B7441A">
      <w:pPr>
        <w:spacing w:after="0" w:line="240" w:lineRule="auto"/>
        <w:jc w:val="both"/>
        <w:rPr>
          <w:rFonts w:ascii="Arial" w:hAnsi="Arial"/>
          <w:sz w:val="21"/>
          <w:szCs w:val="21"/>
        </w:rPr>
      </w:pPr>
      <w:r>
        <w:rPr>
          <w:rFonts w:ascii="Arial" w:hAnsi="Arial"/>
          <w:sz w:val="21"/>
          <w:szCs w:val="21"/>
        </w:rPr>
        <w:t xml:space="preserve">As previously reported, GHS implementation for consumer goods does not appear to be a priority for most of the APEC economies.  </w:t>
      </w:r>
    </w:p>
    <w:p w:rsidR="00B7441A" w:rsidRDefault="00B7441A" w:rsidP="00B7441A">
      <w:pPr>
        <w:spacing w:after="0" w:line="240" w:lineRule="auto"/>
        <w:jc w:val="both"/>
        <w:rPr>
          <w:rFonts w:ascii="Arial" w:hAnsi="Arial"/>
          <w:sz w:val="21"/>
          <w:szCs w:val="21"/>
        </w:rPr>
      </w:pPr>
    </w:p>
    <w:p w:rsidR="00B7441A" w:rsidRDefault="006B4A38" w:rsidP="00B7441A">
      <w:pPr>
        <w:spacing w:after="0" w:line="240" w:lineRule="auto"/>
        <w:jc w:val="both"/>
        <w:rPr>
          <w:rFonts w:ascii="Arial" w:hAnsi="Arial"/>
          <w:sz w:val="21"/>
          <w:szCs w:val="21"/>
        </w:rPr>
      </w:pPr>
      <w:r>
        <w:rPr>
          <w:rFonts w:ascii="Arial" w:hAnsi="Arial"/>
          <w:sz w:val="21"/>
          <w:szCs w:val="21"/>
        </w:rPr>
        <w:t>Only Australia, Japan</w:t>
      </w:r>
      <w:r w:rsidR="00A55AC8">
        <w:rPr>
          <w:rFonts w:ascii="Arial" w:hAnsi="Arial"/>
          <w:sz w:val="21"/>
          <w:szCs w:val="21"/>
        </w:rPr>
        <w:t>,</w:t>
      </w:r>
      <w:r w:rsidR="00B7441A">
        <w:rPr>
          <w:rFonts w:ascii="Arial" w:hAnsi="Arial"/>
          <w:sz w:val="21"/>
          <w:szCs w:val="21"/>
        </w:rPr>
        <w:t xml:space="preserve"> New Zealand </w:t>
      </w:r>
      <w:r w:rsidR="00A55AC8">
        <w:rPr>
          <w:rFonts w:ascii="Arial" w:hAnsi="Arial"/>
          <w:sz w:val="21"/>
          <w:szCs w:val="21"/>
        </w:rPr>
        <w:t xml:space="preserve">and the API </w:t>
      </w:r>
      <w:r w:rsidR="00B7441A">
        <w:rPr>
          <w:rFonts w:ascii="Arial" w:hAnsi="Arial"/>
          <w:sz w:val="21"/>
          <w:szCs w:val="21"/>
        </w:rPr>
        <w:t>have provided information on GHS implementation for c</w:t>
      </w:r>
      <w:r>
        <w:rPr>
          <w:rFonts w:ascii="Arial" w:hAnsi="Arial"/>
          <w:sz w:val="21"/>
          <w:szCs w:val="21"/>
        </w:rPr>
        <w:t xml:space="preserve">onsumer products, and of the </w:t>
      </w:r>
      <w:r w:rsidR="00A55AC8">
        <w:rPr>
          <w:rFonts w:ascii="Arial" w:hAnsi="Arial"/>
          <w:sz w:val="21"/>
          <w:szCs w:val="21"/>
        </w:rPr>
        <w:t>four</w:t>
      </w:r>
      <w:r w:rsidR="00B7441A">
        <w:rPr>
          <w:rFonts w:ascii="Arial" w:hAnsi="Arial"/>
          <w:sz w:val="21"/>
          <w:szCs w:val="21"/>
        </w:rPr>
        <w:t xml:space="preserve">, only </w:t>
      </w:r>
      <w:r w:rsidR="007548F5">
        <w:rPr>
          <w:rFonts w:ascii="Arial" w:hAnsi="Arial"/>
          <w:sz w:val="21"/>
          <w:szCs w:val="21"/>
        </w:rPr>
        <w:t xml:space="preserve">the </w:t>
      </w:r>
      <w:r w:rsidR="00B7441A">
        <w:rPr>
          <w:rFonts w:ascii="Arial" w:hAnsi="Arial"/>
          <w:sz w:val="21"/>
          <w:szCs w:val="21"/>
        </w:rPr>
        <w:t xml:space="preserve">New Zealand </w:t>
      </w:r>
      <w:r>
        <w:rPr>
          <w:rFonts w:ascii="Arial" w:hAnsi="Arial"/>
          <w:sz w:val="21"/>
          <w:szCs w:val="21"/>
        </w:rPr>
        <w:t xml:space="preserve">government </w:t>
      </w:r>
      <w:r w:rsidR="00B7441A">
        <w:rPr>
          <w:rFonts w:ascii="Arial" w:hAnsi="Arial"/>
          <w:sz w:val="21"/>
          <w:szCs w:val="21"/>
        </w:rPr>
        <w:t xml:space="preserve">has implemented GHS for consumer products.  In addition, New Zealand implementation of GHS is flexible and does not mandate GHS labelling on products.  New Zealand also accepts products that are compliant to the Australian, </w:t>
      </w:r>
      <w:r w:rsidR="001F5F43">
        <w:rPr>
          <w:rFonts w:ascii="Arial" w:hAnsi="Arial"/>
          <w:sz w:val="21"/>
          <w:szCs w:val="21"/>
        </w:rPr>
        <w:t>the United States</w:t>
      </w:r>
      <w:r w:rsidR="00B7441A">
        <w:rPr>
          <w:rFonts w:ascii="Arial" w:hAnsi="Arial"/>
          <w:sz w:val="21"/>
          <w:szCs w:val="21"/>
        </w:rPr>
        <w:t xml:space="preserve">, Canadian or the EU labelling requirements. </w:t>
      </w:r>
      <w:r>
        <w:rPr>
          <w:rFonts w:ascii="Arial" w:hAnsi="Arial"/>
          <w:sz w:val="21"/>
          <w:szCs w:val="21"/>
        </w:rPr>
        <w:t>In Japan, GHS implementation for consumer products has progressed on a voluntary basis.</w:t>
      </w:r>
    </w:p>
    <w:p w:rsidR="00B7441A" w:rsidRDefault="00B7441A" w:rsidP="00B7441A">
      <w:pPr>
        <w:spacing w:after="0" w:line="240" w:lineRule="auto"/>
        <w:jc w:val="both"/>
        <w:rPr>
          <w:rFonts w:ascii="Arial" w:hAnsi="Arial"/>
          <w:sz w:val="21"/>
          <w:szCs w:val="21"/>
        </w:rPr>
      </w:pPr>
    </w:p>
    <w:p w:rsidR="00B7441A" w:rsidRDefault="00B7441A" w:rsidP="00B7441A">
      <w:pPr>
        <w:spacing w:after="0" w:line="240" w:lineRule="auto"/>
        <w:jc w:val="both"/>
        <w:rPr>
          <w:rFonts w:ascii="Arial" w:hAnsi="Arial"/>
          <w:sz w:val="21"/>
          <w:szCs w:val="21"/>
        </w:rPr>
      </w:pPr>
      <w:r>
        <w:rPr>
          <w:rFonts w:ascii="Arial" w:hAnsi="Arial"/>
          <w:sz w:val="21"/>
          <w:szCs w:val="21"/>
        </w:rPr>
        <w:t xml:space="preserve">This year’s reports appear consistent with previous GHS implementation reports.  Previous reports identified that economies, particularly those with established systems for managing the risks of consumer products, were experiencing difficulty </w:t>
      </w:r>
      <w:r w:rsidR="006B4A38">
        <w:rPr>
          <w:rFonts w:ascii="Arial" w:hAnsi="Arial"/>
          <w:sz w:val="21"/>
          <w:szCs w:val="21"/>
        </w:rPr>
        <w:t xml:space="preserve">establishing </w:t>
      </w:r>
      <w:r w:rsidR="00A55AC8">
        <w:rPr>
          <w:rFonts w:ascii="Arial" w:hAnsi="Arial"/>
          <w:sz w:val="21"/>
          <w:szCs w:val="21"/>
        </w:rPr>
        <w:t xml:space="preserve">the </w:t>
      </w:r>
      <w:r w:rsidR="006B4A38">
        <w:rPr>
          <w:rFonts w:ascii="Arial" w:hAnsi="Arial"/>
          <w:sz w:val="21"/>
          <w:szCs w:val="21"/>
        </w:rPr>
        <w:t>overall benefit of</w:t>
      </w:r>
      <w:r>
        <w:rPr>
          <w:rFonts w:ascii="Arial" w:hAnsi="Arial"/>
          <w:sz w:val="21"/>
          <w:szCs w:val="21"/>
        </w:rPr>
        <w:t xml:space="preserve"> implementing GHS, as the benefits for GHS implementation identified in the Industrial Workplace sector did not apply to the consumer products sector.</w:t>
      </w:r>
      <w:r w:rsidRPr="00885159">
        <w:rPr>
          <w:rFonts w:ascii="Arial" w:hAnsi="Arial"/>
          <w:sz w:val="21"/>
          <w:szCs w:val="21"/>
        </w:rPr>
        <w:t xml:space="preserve"> </w:t>
      </w:r>
      <w:r>
        <w:rPr>
          <w:rFonts w:ascii="Arial" w:hAnsi="Arial"/>
          <w:sz w:val="21"/>
          <w:szCs w:val="21"/>
        </w:rPr>
        <w:t xml:space="preserve">Language differences, cultural preferences and other local regulatory requirements </w:t>
      </w:r>
      <w:r w:rsidR="004C1DEC">
        <w:rPr>
          <w:rFonts w:ascii="Arial" w:hAnsi="Arial"/>
          <w:sz w:val="21"/>
          <w:szCs w:val="21"/>
        </w:rPr>
        <w:t xml:space="preserve">were identified as more significant </w:t>
      </w:r>
      <w:r>
        <w:rPr>
          <w:rFonts w:ascii="Arial" w:hAnsi="Arial"/>
          <w:sz w:val="21"/>
          <w:szCs w:val="21"/>
        </w:rPr>
        <w:t>factor</w:t>
      </w:r>
      <w:r w:rsidR="004C1DEC">
        <w:rPr>
          <w:rFonts w:ascii="Arial" w:hAnsi="Arial"/>
          <w:sz w:val="21"/>
          <w:szCs w:val="21"/>
        </w:rPr>
        <w:t>s</w:t>
      </w:r>
      <w:r>
        <w:rPr>
          <w:rFonts w:ascii="Arial" w:hAnsi="Arial"/>
          <w:sz w:val="21"/>
          <w:szCs w:val="21"/>
        </w:rPr>
        <w:t xml:space="preserve"> for consumer products</w:t>
      </w:r>
      <w:r w:rsidR="004C1DEC">
        <w:rPr>
          <w:rFonts w:ascii="Arial" w:hAnsi="Arial"/>
          <w:sz w:val="21"/>
          <w:szCs w:val="21"/>
        </w:rPr>
        <w:t xml:space="preserve"> than they were for industrial workplace chemicals.</w:t>
      </w:r>
    </w:p>
    <w:p w:rsidR="00B7441A" w:rsidRDefault="00B7441A" w:rsidP="00B7441A">
      <w:pPr>
        <w:spacing w:after="0" w:line="240" w:lineRule="auto"/>
        <w:jc w:val="both"/>
        <w:rPr>
          <w:rFonts w:ascii="Arial" w:hAnsi="Arial"/>
          <w:sz w:val="21"/>
          <w:szCs w:val="21"/>
        </w:rPr>
      </w:pPr>
    </w:p>
    <w:p w:rsidR="00B7441A" w:rsidRDefault="00B7441A" w:rsidP="00B7441A">
      <w:pPr>
        <w:spacing w:after="0" w:line="240" w:lineRule="auto"/>
        <w:jc w:val="both"/>
        <w:rPr>
          <w:rFonts w:ascii="Arial" w:hAnsi="Arial" w:cs="Arial"/>
          <w:bCs/>
          <w:sz w:val="21"/>
          <w:szCs w:val="21"/>
          <w:u w:val="single"/>
        </w:rPr>
      </w:pPr>
      <w:r w:rsidRPr="004D61B7">
        <w:rPr>
          <w:rFonts w:ascii="Arial" w:hAnsi="Arial" w:cs="Arial"/>
          <w:bCs/>
          <w:sz w:val="21"/>
          <w:szCs w:val="21"/>
          <w:u w:val="single"/>
        </w:rPr>
        <w:t>Agriculture</w:t>
      </w:r>
    </w:p>
    <w:p w:rsidR="00B7441A" w:rsidRPr="004D61B7" w:rsidRDefault="00B7441A" w:rsidP="00B7441A">
      <w:pPr>
        <w:spacing w:after="0" w:line="240" w:lineRule="auto"/>
        <w:jc w:val="both"/>
        <w:rPr>
          <w:rFonts w:ascii="Arial" w:hAnsi="Arial" w:cs="Arial"/>
          <w:bCs/>
          <w:sz w:val="21"/>
          <w:szCs w:val="21"/>
          <w:u w:val="single"/>
        </w:rPr>
      </w:pPr>
    </w:p>
    <w:p w:rsidR="004C1DEC" w:rsidRDefault="00B7441A" w:rsidP="00B7441A">
      <w:pPr>
        <w:spacing w:after="0" w:line="240" w:lineRule="auto"/>
        <w:jc w:val="both"/>
        <w:rPr>
          <w:rFonts w:ascii="Arial" w:hAnsi="Arial" w:cs="Arial"/>
          <w:sz w:val="21"/>
          <w:szCs w:val="21"/>
        </w:rPr>
      </w:pPr>
      <w:r>
        <w:rPr>
          <w:rFonts w:ascii="Arial" w:hAnsi="Arial" w:cs="Arial"/>
          <w:sz w:val="21"/>
          <w:szCs w:val="21"/>
        </w:rPr>
        <w:t xml:space="preserve">Australia, Chinese Taipei, </w:t>
      </w:r>
      <w:r w:rsidR="004C1DEC">
        <w:rPr>
          <w:rFonts w:ascii="Arial" w:hAnsi="Arial" w:cs="Arial"/>
          <w:sz w:val="21"/>
          <w:szCs w:val="21"/>
        </w:rPr>
        <w:t xml:space="preserve">Japan, </w:t>
      </w:r>
      <w:r>
        <w:rPr>
          <w:rFonts w:ascii="Arial" w:hAnsi="Arial" w:cs="Arial"/>
          <w:sz w:val="21"/>
          <w:szCs w:val="21"/>
        </w:rPr>
        <w:t>New Zealand</w:t>
      </w:r>
      <w:r w:rsidR="00A55AC8">
        <w:rPr>
          <w:rFonts w:ascii="Arial" w:hAnsi="Arial" w:cs="Arial"/>
          <w:sz w:val="21"/>
          <w:szCs w:val="21"/>
        </w:rPr>
        <w:t>,</w:t>
      </w:r>
      <w:r>
        <w:rPr>
          <w:rFonts w:ascii="Arial" w:hAnsi="Arial" w:cs="Arial"/>
          <w:sz w:val="21"/>
          <w:szCs w:val="21"/>
        </w:rPr>
        <w:t xml:space="preserve"> Vietnam </w:t>
      </w:r>
      <w:r w:rsidR="00A55AC8">
        <w:rPr>
          <w:rFonts w:ascii="Arial" w:hAnsi="Arial" w:cs="Arial"/>
          <w:sz w:val="21"/>
          <w:szCs w:val="21"/>
        </w:rPr>
        <w:t xml:space="preserve">and the API </w:t>
      </w:r>
      <w:r>
        <w:rPr>
          <w:rFonts w:ascii="Arial" w:hAnsi="Arial" w:cs="Arial"/>
          <w:sz w:val="21"/>
          <w:szCs w:val="21"/>
        </w:rPr>
        <w:t xml:space="preserve">have provided reports on GHS implementation for agriculture.  </w:t>
      </w:r>
    </w:p>
    <w:p w:rsidR="004C1DEC" w:rsidRDefault="004C1DEC" w:rsidP="00B7441A">
      <w:pPr>
        <w:spacing w:after="0" w:line="240" w:lineRule="auto"/>
        <w:jc w:val="both"/>
        <w:rPr>
          <w:rFonts w:ascii="Arial" w:hAnsi="Arial" w:cs="Arial"/>
          <w:sz w:val="21"/>
          <w:szCs w:val="21"/>
        </w:rPr>
      </w:pPr>
    </w:p>
    <w:p w:rsidR="004C1DEC" w:rsidRDefault="004C1DEC" w:rsidP="00B7441A">
      <w:pPr>
        <w:spacing w:after="0" w:line="240" w:lineRule="auto"/>
        <w:jc w:val="both"/>
        <w:rPr>
          <w:rFonts w:ascii="Arial" w:hAnsi="Arial" w:cs="Arial"/>
          <w:sz w:val="21"/>
          <w:szCs w:val="21"/>
        </w:rPr>
      </w:pPr>
      <w:r>
        <w:rPr>
          <w:rFonts w:ascii="Arial" w:hAnsi="Arial" w:cs="Arial"/>
          <w:sz w:val="21"/>
          <w:szCs w:val="21"/>
        </w:rPr>
        <w:t xml:space="preserve">Japan has identified that it does not plan to implement GHS for agriculture, and </w:t>
      </w:r>
      <w:r w:rsidR="00B7441A">
        <w:rPr>
          <w:rFonts w:ascii="Arial" w:hAnsi="Arial" w:cs="Arial"/>
          <w:sz w:val="21"/>
          <w:szCs w:val="21"/>
        </w:rPr>
        <w:t>Australia</w:t>
      </w:r>
      <w:r w:rsidR="007A4D46">
        <w:rPr>
          <w:rFonts w:ascii="Arial" w:hAnsi="Arial" w:cs="Arial"/>
          <w:sz w:val="21"/>
          <w:szCs w:val="21"/>
        </w:rPr>
        <w:t>,</w:t>
      </w:r>
      <w:r w:rsidR="00B7441A">
        <w:rPr>
          <w:rFonts w:ascii="Arial" w:hAnsi="Arial" w:cs="Arial"/>
          <w:sz w:val="21"/>
          <w:szCs w:val="21"/>
        </w:rPr>
        <w:t xml:space="preserve"> Chinese Taipei </w:t>
      </w:r>
      <w:r w:rsidR="007A4D46">
        <w:rPr>
          <w:rFonts w:ascii="Arial" w:hAnsi="Arial" w:cs="Arial"/>
          <w:sz w:val="21"/>
          <w:szCs w:val="21"/>
        </w:rPr>
        <w:t xml:space="preserve">and the United States </w:t>
      </w:r>
      <w:r w:rsidR="00B7441A">
        <w:rPr>
          <w:rFonts w:ascii="Arial" w:hAnsi="Arial" w:cs="Arial"/>
          <w:sz w:val="21"/>
          <w:szCs w:val="21"/>
        </w:rPr>
        <w:t>are yet to implement GHS for th</w:t>
      </w:r>
      <w:r>
        <w:rPr>
          <w:rFonts w:ascii="Arial" w:hAnsi="Arial" w:cs="Arial"/>
          <w:sz w:val="21"/>
          <w:szCs w:val="21"/>
        </w:rPr>
        <w:t>e agricultural chemicals sector.</w:t>
      </w:r>
    </w:p>
    <w:p w:rsidR="004C1DEC" w:rsidRDefault="004C1DEC" w:rsidP="00B7441A">
      <w:pPr>
        <w:spacing w:after="0" w:line="240" w:lineRule="auto"/>
        <w:jc w:val="both"/>
        <w:rPr>
          <w:rFonts w:ascii="Arial" w:hAnsi="Arial" w:cs="Arial"/>
          <w:sz w:val="21"/>
          <w:szCs w:val="21"/>
        </w:rPr>
      </w:pPr>
    </w:p>
    <w:p w:rsidR="00B7441A" w:rsidRDefault="00B7441A" w:rsidP="00B7441A">
      <w:pPr>
        <w:spacing w:after="0" w:line="240" w:lineRule="auto"/>
        <w:jc w:val="both"/>
        <w:rPr>
          <w:rFonts w:ascii="Arial" w:hAnsi="Arial" w:cs="Arial"/>
          <w:sz w:val="21"/>
          <w:szCs w:val="21"/>
        </w:rPr>
      </w:pPr>
      <w:r>
        <w:rPr>
          <w:rFonts w:ascii="Arial" w:hAnsi="Arial" w:cs="Arial"/>
          <w:sz w:val="21"/>
          <w:szCs w:val="21"/>
        </w:rPr>
        <w:t>New Zealand and Vietnam have reported that GHS has been implemented</w:t>
      </w:r>
      <w:r w:rsidR="004C1DEC">
        <w:rPr>
          <w:rFonts w:ascii="Arial" w:hAnsi="Arial" w:cs="Arial"/>
          <w:sz w:val="21"/>
          <w:szCs w:val="21"/>
        </w:rPr>
        <w:t xml:space="preserve"> for this sector</w:t>
      </w:r>
      <w:r>
        <w:rPr>
          <w:rFonts w:ascii="Arial" w:hAnsi="Arial" w:cs="Arial"/>
          <w:sz w:val="21"/>
          <w:szCs w:val="21"/>
        </w:rPr>
        <w:t xml:space="preserve">.  </w:t>
      </w:r>
      <w:r w:rsidR="004C1DEC">
        <w:rPr>
          <w:rFonts w:ascii="Arial" w:hAnsi="Arial" w:cs="Arial"/>
          <w:sz w:val="21"/>
          <w:szCs w:val="21"/>
        </w:rPr>
        <w:t xml:space="preserve">However, as for consumer products, the </w:t>
      </w:r>
      <w:r>
        <w:rPr>
          <w:rFonts w:ascii="Arial" w:hAnsi="Arial" w:cs="Arial"/>
          <w:sz w:val="21"/>
          <w:szCs w:val="21"/>
        </w:rPr>
        <w:t>New Zealand implementation of GHS is flexible and includes risk management assessment in addition to GHS.  Further</w:t>
      </w:r>
      <w:r w:rsidR="007548F5">
        <w:rPr>
          <w:rFonts w:ascii="Arial" w:hAnsi="Arial" w:cs="Arial"/>
          <w:sz w:val="21"/>
          <w:szCs w:val="21"/>
        </w:rPr>
        <w:t>,</w:t>
      </w:r>
      <w:r>
        <w:rPr>
          <w:rFonts w:ascii="Arial" w:hAnsi="Arial" w:cs="Arial"/>
          <w:sz w:val="21"/>
          <w:szCs w:val="21"/>
        </w:rPr>
        <w:t xml:space="preserve"> GHS labels are not mandated in New Zealand.</w:t>
      </w:r>
      <w:r w:rsidR="007A4D46">
        <w:rPr>
          <w:rFonts w:ascii="Arial" w:hAnsi="Arial" w:cs="Arial"/>
          <w:sz w:val="21"/>
          <w:szCs w:val="21"/>
        </w:rPr>
        <w:t xml:space="preserve">  </w:t>
      </w:r>
    </w:p>
    <w:p w:rsidR="00B7441A" w:rsidRDefault="00B7441A" w:rsidP="00B7441A">
      <w:pPr>
        <w:spacing w:after="0" w:line="240" w:lineRule="auto"/>
        <w:jc w:val="both"/>
        <w:rPr>
          <w:rFonts w:ascii="Arial" w:hAnsi="Arial" w:cs="Arial"/>
          <w:sz w:val="21"/>
          <w:szCs w:val="21"/>
        </w:rPr>
      </w:pPr>
    </w:p>
    <w:p w:rsidR="00B7441A" w:rsidRDefault="00B7441A" w:rsidP="00B7441A">
      <w:pPr>
        <w:spacing w:after="0" w:line="240" w:lineRule="auto"/>
        <w:jc w:val="both"/>
        <w:rPr>
          <w:rFonts w:ascii="Arial" w:hAnsi="Arial" w:cs="Arial"/>
          <w:sz w:val="21"/>
          <w:szCs w:val="21"/>
        </w:rPr>
      </w:pPr>
      <w:r>
        <w:rPr>
          <w:rFonts w:ascii="Arial" w:hAnsi="Arial" w:cs="Arial"/>
          <w:sz w:val="21"/>
          <w:szCs w:val="21"/>
        </w:rPr>
        <w:t xml:space="preserve">In previous reports, economies had indicated that they follow the UN Food and Agricultural Organisation (FAO) rules.  WHO and FAO labelling </w:t>
      </w:r>
      <w:r w:rsidR="004C1DEC">
        <w:rPr>
          <w:rFonts w:ascii="Arial" w:hAnsi="Arial" w:cs="Arial"/>
          <w:sz w:val="21"/>
          <w:szCs w:val="21"/>
        </w:rPr>
        <w:t>were</w:t>
      </w:r>
      <w:r>
        <w:rPr>
          <w:rFonts w:ascii="Arial" w:hAnsi="Arial" w:cs="Arial"/>
          <w:sz w:val="21"/>
          <w:szCs w:val="21"/>
        </w:rPr>
        <w:t xml:space="preserve"> the internationally accepted labelling for agr</w:t>
      </w:r>
      <w:r w:rsidR="004C1DEC">
        <w:rPr>
          <w:rFonts w:ascii="Arial" w:hAnsi="Arial" w:cs="Arial"/>
          <w:sz w:val="21"/>
          <w:szCs w:val="21"/>
        </w:rPr>
        <w:t>icultural pesticides.  Some had</w:t>
      </w:r>
      <w:r>
        <w:rPr>
          <w:rFonts w:ascii="Arial" w:hAnsi="Arial" w:cs="Arial"/>
          <w:sz w:val="21"/>
          <w:szCs w:val="21"/>
        </w:rPr>
        <w:t xml:space="preserve"> indicated that they have implemented or are considering implementation of GHS on top of the FAO rules.</w:t>
      </w:r>
    </w:p>
    <w:p w:rsidR="00B7441A" w:rsidRDefault="00B7441A" w:rsidP="00B7441A">
      <w:pPr>
        <w:spacing w:after="0" w:line="240" w:lineRule="auto"/>
        <w:jc w:val="both"/>
        <w:rPr>
          <w:rFonts w:ascii="Arial" w:hAnsi="Arial" w:cs="Arial"/>
          <w:sz w:val="21"/>
          <w:szCs w:val="21"/>
        </w:rPr>
      </w:pPr>
    </w:p>
    <w:p w:rsidR="00B7441A" w:rsidRDefault="00B7441A" w:rsidP="00B7441A">
      <w:pPr>
        <w:spacing w:after="0" w:line="240" w:lineRule="auto"/>
        <w:jc w:val="both"/>
        <w:rPr>
          <w:rFonts w:ascii="Arial" w:hAnsi="Arial" w:cs="Arial"/>
          <w:sz w:val="21"/>
          <w:szCs w:val="21"/>
        </w:rPr>
      </w:pPr>
      <w:r>
        <w:rPr>
          <w:rFonts w:ascii="Arial" w:hAnsi="Arial" w:cs="Arial"/>
          <w:sz w:val="21"/>
          <w:szCs w:val="21"/>
        </w:rPr>
        <w:t xml:space="preserve">In the Australian report, industry identified </w:t>
      </w:r>
      <w:r w:rsidR="004C1DEC">
        <w:rPr>
          <w:rFonts w:ascii="Arial" w:hAnsi="Arial" w:cs="Arial"/>
          <w:sz w:val="21"/>
          <w:szCs w:val="21"/>
        </w:rPr>
        <w:t xml:space="preserve">that </w:t>
      </w:r>
      <w:r>
        <w:rPr>
          <w:rFonts w:ascii="Arial" w:hAnsi="Arial" w:cs="Arial"/>
          <w:sz w:val="21"/>
          <w:szCs w:val="21"/>
        </w:rPr>
        <w:t>the additional cost burden imposed on industry by GHS implementation being added on top of existing regulatory requirements which closely align with the WHO and FAO requirements.  This is due to agricultural chemicals being treated as a workplace chemical as well as an agricultural chemical.  The Australian i</w:t>
      </w:r>
      <w:r w:rsidR="007548F5">
        <w:rPr>
          <w:rFonts w:ascii="Arial" w:hAnsi="Arial" w:cs="Arial"/>
          <w:sz w:val="21"/>
          <w:szCs w:val="21"/>
        </w:rPr>
        <w:t>ndustry identified zero benefit</w:t>
      </w:r>
      <w:r>
        <w:rPr>
          <w:rFonts w:ascii="Arial" w:hAnsi="Arial" w:cs="Arial"/>
          <w:sz w:val="21"/>
          <w:szCs w:val="21"/>
        </w:rPr>
        <w:t xml:space="preserve"> from the additional regulatory requirements.  We note that no other economy has provided an industry input for GHS implementation in agriculture.</w:t>
      </w:r>
    </w:p>
    <w:p w:rsidR="00B7441A" w:rsidRDefault="00B7441A" w:rsidP="00B7441A">
      <w:pPr>
        <w:spacing w:after="0" w:line="240" w:lineRule="auto"/>
        <w:jc w:val="both"/>
        <w:rPr>
          <w:rFonts w:ascii="Arial" w:hAnsi="Arial" w:cs="Arial"/>
          <w:sz w:val="21"/>
          <w:szCs w:val="21"/>
        </w:rPr>
      </w:pPr>
    </w:p>
    <w:p w:rsidR="00B7441A" w:rsidRDefault="00B7441A" w:rsidP="00B7441A">
      <w:pPr>
        <w:spacing w:after="0" w:line="240" w:lineRule="auto"/>
        <w:jc w:val="both"/>
        <w:rPr>
          <w:rFonts w:ascii="Arial" w:hAnsi="Arial" w:cs="Arial"/>
          <w:sz w:val="21"/>
          <w:szCs w:val="21"/>
          <w:lang w:val="en-US"/>
        </w:rPr>
      </w:pPr>
      <w:r>
        <w:rPr>
          <w:rFonts w:ascii="Arial" w:hAnsi="Arial" w:cs="Arial"/>
          <w:sz w:val="21"/>
          <w:szCs w:val="21"/>
          <w:lang w:val="en-US"/>
        </w:rPr>
        <w:t xml:space="preserve">The VWG has previously recommended a closer study of GHS implementation for the agricultural sector, however, there has not been a significant level of interest in the project.  In the previous report, it was </w:t>
      </w:r>
      <w:r w:rsidR="004C1DEC">
        <w:rPr>
          <w:rFonts w:ascii="Arial" w:hAnsi="Arial" w:cs="Arial"/>
          <w:sz w:val="21"/>
          <w:szCs w:val="21"/>
          <w:lang w:val="en-US"/>
        </w:rPr>
        <w:t xml:space="preserve">also </w:t>
      </w:r>
      <w:r>
        <w:rPr>
          <w:rFonts w:ascii="Arial" w:hAnsi="Arial" w:cs="Arial"/>
          <w:sz w:val="21"/>
          <w:szCs w:val="21"/>
          <w:lang w:val="en-US"/>
        </w:rPr>
        <w:t>noted that the low level of interest in GHS implementation for the agricultural chemicals sector may be due to the wide use of F</w:t>
      </w:r>
      <w:r w:rsidRPr="001540D3">
        <w:rPr>
          <w:rFonts w:ascii="Arial" w:hAnsi="Arial" w:cs="Arial"/>
          <w:sz w:val="21"/>
          <w:szCs w:val="21"/>
          <w:lang w:val="en-US"/>
        </w:rPr>
        <w:t>A</w:t>
      </w:r>
      <w:r>
        <w:rPr>
          <w:rFonts w:ascii="Arial" w:hAnsi="Arial" w:cs="Arial"/>
          <w:sz w:val="21"/>
          <w:szCs w:val="21"/>
          <w:lang w:val="en-US"/>
        </w:rPr>
        <w:t>O</w:t>
      </w:r>
      <w:r w:rsidRPr="001540D3">
        <w:rPr>
          <w:rFonts w:ascii="Arial" w:hAnsi="Arial" w:cs="Arial"/>
          <w:sz w:val="21"/>
          <w:szCs w:val="21"/>
          <w:lang w:val="en-US"/>
        </w:rPr>
        <w:t xml:space="preserve"> </w:t>
      </w:r>
      <w:r w:rsidRPr="006A4FA9">
        <w:rPr>
          <w:rFonts w:ascii="Arial" w:hAnsi="Arial" w:cs="Arial"/>
          <w:i/>
          <w:sz w:val="21"/>
          <w:szCs w:val="21"/>
          <w:lang w:val="en-US"/>
        </w:rPr>
        <w:t>“Guidelines on Good Labeling Practice for Pesticides"</w:t>
      </w:r>
      <w:r>
        <w:rPr>
          <w:rFonts w:ascii="Arial" w:hAnsi="Arial" w:cs="Arial"/>
          <w:sz w:val="21"/>
          <w:szCs w:val="21"/>
          <w:lang w:val="en-US"/>
        </w:rPr>
        <w:t xml:space="preserve"> within APEC.  </w:t>
      </w:r>
    </w:p>
    <w:p w:rsidR="00B7441A" w:rsidRDefault="00B7441A" w:rsidP="00B7441A">
      <w:pPr>
        <w:spacing w:after="0" w:line="240" w:lineRule="auto"/>
        <w:jc w:val="both"/>
        <w:rPr>
          <w:rFonts w:ascii="Arial" w:hAnsi="Arial" w:cs="Arial"/>
          <w:sz w:val="21"/>
          <w:szCs w:val="21"/>
          <w:lang w:val="en-US"/>
        </w:rPr>
      </w:pPr>
    </w:p>
    <w:p w:rsidR="00B7441A" w:rsidRDefault="00B7441A" w:rsidP="00B7441A">
      <w:pPr>
        <w:spacing w:after="0" w:line="240" w:lineRule="auto"/>
        <w:jc w:val="both"/>
        <w:rPr>
          <w:rFonts w:ascii="Arial" w:hAnsi="Arial" w:cs="Arial"/>
          <w:sz w:val="21"/>
          <w:szCs w:val="21"/>
          <w:lang w:val="en-US"/>
        </w:rPr>
      </w:pPr>
      <w:r>
        <w:rPr>
          <w:rFonts w:ascii="Arial" w:hAnsi="Arial" w:cs="Arial"/>
          <w:sz w:val="21"/>
          <w:szCs w:val="21"/>
          <w:lang w:val="en-US"/>
        </w:rPr>
        <w:t xml:space="preserve">Further GHS implementation for the agricultural chemicals sector </w:t>
      </w:r>
      <w:r w:rsidR="004C1DEC">
        <w:rPr>
          <w:rFonts w:ascii="Arial" w:hAnsi="Arial" w:cs="Arial"/>
          <w:sz w:val="21"/>
          <w:szCs w:val="21"/>
          <w:lang w:val="en-US"/>
        </w:rPr>
        <w:t xml:space="preserve">in some economies like Australia, </w:t>
      </w:r>
      <w:r>
        <w:rPr>
          <w:rFonts w:ascii="Arial" w:hAnsi="Arial" w:cs="Arial"/>
          <w:sz w:val="21"/>
          <w:szCs w:val="21"/>
          <w:lang w:val="en-US"/>
        </w:rPr>
        <w:t xml:space="preserve">appears to be due to the implementation of GHS </w:t>
      </w:r>
      <w:r w:rsidR="004C1DEC">
        <w:rPr>
          <w:rFonts w:ascii="Arial" w:hAnsi="Arial" w:cs="Arial"/>
          <w:sz w:val="21"/>
          <w:szCs w:val="21"/>
          <w:lang w:val="en-US"/>
        </w:rPr>
        <w:t xml:space="preserve">in </w:t>
      </w:r>
      <w:r>
        <w:rPr>
          <w:rFonts w:ascii="Arial" w:hAnsi="Arial" w:cs="Arial"/>
          <w:sz w:val="21"/>
          <w:szCs w:val="21"/>
          <w:lang w:val="en-US"/>
        </w:rPr>
        <w:t>other sectors such as the industrial workplace sector</w:t>
      </w:r>
      <w:r w:rsidR="004C1DEC">
        <w:rPr>
          <w:rFonts w:ascii="Arial" w:hAnsi="Arial" w:cs="Arial"/>
          <w:sz w:val="21"/>
          <w:szCs w:val="21"/>
          <w:lang w:val="en-US"/>
        </w:rPr>
        <w:t xml:space="preserve">, rather than a </w:t>
      </w:r>
      <w:r>
        <w:rPr>
          <w:rFonts w:ascii="Arial" w:hAnsi="Arial" w:cs="Arial"/>
          <w:sz w:val="21"/>
          <w:szCs w:val="21"/>
          <w:lang w:val="en-US"/>
        </w:rPr>
        <w:t xml:space="preserve">deliberate strategy for implementation </w:t>
      </w:r>
      <w:r w:rsidR="004C1DEC">
        <w:rPr>
          <w:rFonts w:ascii="Arial" w:hAnsi="Arial" w:cs="Arial"/>
          <w:sz w:val="21"/>
          <w:szCs w:val="21"/>
          <w:lang w:val="en-US"/>
        </w:rPr>
        <w:t xml:space="preserve">of GHS </w:t>
      </w:r>
      <w:r>
        <w:rPr>
          <w:rFonts w:ascii="Arial" w:hAnsi="Arial" w:cs="Arial"/>
          <w:sz w:val="21"/>
          <w:szCs w:val="21"/>
          <w:lang w:val="en-US"/>
        </w:rPr>
        <w:t>specifically for agricultural chemicals.</w:t>
      </w:r>
    </w:p>
    <w:p w:rsidR="00B7441A" w:rsidRDefault="00B7441A" w:rsidP="00B7441A">
      <w:pPr>
        <w:spacing w:after="0" w:line="240" w:lineRule="auto"/>
        <w:jc w:val="both"/>
        <w:rPr>
          <w:rFonts w:ascii="Arial" w:hAnsi="Arial" w:cs="Arial"/>
          <w:sz w:val="21"/>
          <w:szCs w:val="21"/>
          <w:lang w:val="en-US"/>
        </w:rPr>
      </w:pPr>
    </w:p>
    <w:p w:rsidR="00B7441A" w:rsidRDefault="00B7441A" w:rsidP="00B7441A">
      <w:pPr>
        <w:spacing w:after="0" w:line="240" w:lineRule="auto"/>
        <w:jc w:val="both"/>
        <w:rPr>
          <w:rFonts w:ascii="Arial" w:hAnsi="Arial" w:cs="Arial"/>
          <w:sz w:val="21"/>
          <w:szCs w:val="21"/>
          <w:lang w:val="en-US"/>
        </w:rPr>
      </w:pPr>
      <w:r>
        <w:rPr>
          <w:rFonts w:ascii="Arial" w:hAnsi="Arial" w:cs="Arial"/>
          <w:sz w:val="21"/>
          <w:szCs w:val="21"/>
          <w:lang w:val="en-US"/>
        </w:rPr>
        <w:t xml:space="preserve">Noting this, it may be more helpful to consider </w:t>
      </w:r>
      <w:r w:rsidR="004C1DEC">
        <w:rPr>
          <w:rFonts w:ascii="Arial" w:hAnsi="Arial" w:cs="Arial"/>
          <w:sz w:val="21"/>
          <w:szCs w:val="21"/>
          <w:lang w:val="en-US"/>
        </w:rPr>
        <w:t xml:space="preserve">potential methods of </w:t>
      </w:r>
      <w:r>
        <w:rPr>
          <w:rFonts w:ascii="Arial" w:hAnsi="Arial" w:cs="Arial"/>
          <w:sz w:val="21"/>
          <w:szCs w:val="21"/>
          <w:lang w:val="en-US"/>
        </w:rPr>
        <w:t>reducing any unintended negative impact of GHS implementation on the agricultural sector, rather than considering any specific projects on GHS implementation for this sector.</w:t>
      </w:r>
    </w:p>
    <w:p w:rsidR="00B7441A" w:rsidRPr="001540D3" w:rsidRDefault="00B7441A" w:rsidP="00B7441A">
      <w:pPr>
        <w:spacing w:after="0" w:line="240" w:lineRule="auto"/>
        <w:jc w:val="both"/>
        <w:rPr>
          <w:rFonts w:ascii="Arial" w:hAnsi="Arial" w:cs="Arial"/>
          <w:sz w:val="21"/>
          <w:szCs w:val="21"/>
        </w:rPr>
      </w:pPr>
    </w:p>
    <w:p w:rsidR="008D410F" w:rsidRDefault="008D410F"/>
    <w:sectPr w:rsidR="008D410F" w:rsidSect="00CA5D1D">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41A" w:rsidRDefault="00B7441A" w:rsidP="00B7441A">
      <w:pPr>
        <w:spacing w:after="0" w:line="240" w:lineRule="auto"/>
      </w:pPr>
      <w:r>
        <w:separator/>
      </w:r>
    </w:p>
  </w:endnote>
  <w:endnote w:type="continuationSeparator" w:id="0">
    <w:p w:rsidR="00B7441A" w:rsidRDefault="00B7441A" w:rsidP="00B74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0D8" w:rsidRDefault="00B7441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03717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37176">
      <w:rPr>
        <w:b/>
        <w:bCs/>
        <w:noProof/>
      </w:rPr>
      <w:t>3</w:t>
    </w:r>
    <w:r>
      <w:rPr>
        <w:b/>
        <w:bCs/>
        <w:sz w:val="24"/>
        <w:szCs w:val="24"/>
      </w:rPr>
      <w:fldChar w:fldCharType="end"/>
    </w:r>
  </w:p>
  <w:p w:rsidR="006A70D8" w:rsidRDefault="000371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41A" w:rsidRDefault="00B7441A" w:rsidP="00B7441A">
      <w:pPr>
        <w:spacing w:after="0" w:line="240" w:lineRule="auto"/>
      </w:pPr>
      <w:r>
        <w:separator/>
      </w:r>
    </w:p>
  </w:footnote>
  <w:footnote w:type="continuationSeparator" w:id="0">
    <w:p w:rsidR="00B7441A" w:rsidRDefault="00B7441A" w:rsidP="00B7441A">
      <w:pPr>
        <w:spacing w:after="0" w:line="240" w:lineRule="auto"/>
      </w:pPr>
      <w:r>
        <w:continuationSeparator/>
      </w:r>
    </w:p>
  </w:footnote>
  <w:footnote w:id="1">
    <w:p w:rsidR="00B7441A" w:rsidRDefault="00B7441A" w:rsidP="00B7441A">
      <w:pPr>
        <w:pStyle w:val="FootnoteText"/>
      </w:pPr>
      <w:r>
        <w:rPr>
          <w:rStyle w:val="FootnoteReference"/>
        </w:rPr>
        <w:footnoteRef/>
      </w:r>
      <w:r>
        <w:t xml:space="preserve"> Malaysia </w:t>
      </w:r>
      <w:r w:rsidR="00CA3BE5">
        <w:t xml:space="preserve">and Indonesia have </w:t>
      </w:r>
      <w:r>
        <w:t>completed the “general” section only.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87C5B"/>
    <w:multiLevelType w:val="hybridMultilevel"/>
    <w:tmpl w:val="093CAC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D0E2176"/>
    <w:multiLevelType w:val="hybridMultilevel"/>
    <w:tmpl w:val="EB8AAEB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nsid w:val="3ADA0510"/>
    <w:multiLevelType w:val="hybridMultilevel"/>
    <w:tmpl w:val="BD8415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B0979C1"/>
    <w:multiLevelType w:val="hybridMultilevel"/>
    <w:tmpl w:val="5E3A6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D536EE"/>
    <w:multiLevelType w:val="hybridMultilevel"/>
    <w:tmpl w:val="27A6703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4172765F"/>
    <w:multiLevelType w:val="hybridMultilevel"/>
    <w:tmpl w:val="D6A2B3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37F13CB"/>
    <w:multiLevelType w:val="hybridMultilevel"/>
    <w:tmpl w:val="0520D4F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54925B4"/>
    <w:multiLevelType w:val="hybridMultilevel"/>
    <w:tmpl w:val="3D46F5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EAD5790"/>
    <w:multiLevelType w:val="hybridMultilevel"/>
    <w:tmpl w:val="F6F476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0822953"/>
    <w:multiLevelType w:val="hybridMultilevel"/>
    <w:tmpl w:val="19BEEB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565313F"/>
    <w:multiLevelType w:val="hybridMultilevel"/>
    <w:tmpl w:val="EBD276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
  </w:num>
  <w:num w:numId="3">
    <w:abstractNumId w:val="8"/>
  </w:num>
  <w:num w:numId="4">
    <w:abstractNumId w:val="7"/>
  </w:num>
  <w:num w:numId="5">
    <w:abstractNumId w:val="5"/>
  </w:num>
  <w:num w:numId="6">
    <w:abstractNumId w:val="10"/>
  </w:num>
  <w:num w:numId="7">
    <w:abstractNumId w:val="2"/>
  </w:num>
  <w:num w:numId="8">
    <w:abstractNumId w:val="4"/>
  </w:num>
  <w:num w:numId="9">
    <w:abstractNumId w:val="0"/>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41A"/>
    <w:rsid w:val="00007972"/>
    <w:rsid w:val="00011F28"/>
    <w:rsid w:val="00022F19"/>
    <w:rsid w:val="00023E50"/>
    <w:rsid w:val="000277AC"/>
    <w:rsid w:val="000323A5"/>
    <w:rsid w:val="00037176"/>
    <w:rsid w:val="00040050"/>
    <w:rsid w:val="00042DA9"/>
    <w:rsid w:val="00054143"/>
    <w:rsid w:val="00060EC4"/>
    <w:rsid w:val="00065035"/>
    <w:rsid w:val="00067EBC"/>
    <w:rsid w:val="00075DD3"/>
    <w:rsid w:val="00077797"/>
    <w:rsid w:val="000779A6"/>
    <w:rsid w:val="00080335"/>
    <w:rsid w:val="000803AC"/>
    <w:rsid w:val="000923E8"/>
    <w:rsid w:val="000A38E0"/>
    <w:rsid w:val="000B6E4E"/>
    <w:rsid w:val="000C4610"/>
    <w:rsid w:val="000C6A6F"/>
    <w:rsid w:val="000D26D5"/>
    <w:rsid w:val="000D2785"/>
    <w:rsid w:val="000E0181"/>
    <w:rsid w:val="000F5E8B"/>
    <w:rsid w:val="001059E9"/>
    <w:rsid w:val="001205C6"/>
    <w:rsid w:val="001316E7"/>
    <w:rsid w:val="0013712C"/>
    <w:rsid w:val="00140121"/>
    <w:rsid w:val="0015326C"/>
    <w:rsid w:val="00176ACD"/>
    <w:rsid w:val="00184111"/>
    <w:rsid w:val="0018466B"/>
    <w:rsid w:val="00196577"/>
    <w:rsid w:val="001A1926"/>
    <w:rsid w:val="001B2799"/>
    <w:rsid w:val="001C27B0"/>
    <w:rsid w:val="001C6E79"/>
    <w:rsid w:val="001D0F38"/>
    <w:rsid w:val="001D208A"/>
    <w:rsid w:val="001E1666"/>
    <w:rsid w:val="001F4339"/>
    <w:rsid w:val="001F5F43"/>
    <w:rsid w:val="00204721"/>
    <w:rsid w:val="00206932"/>
    <w:rsid w:val="00207927"/>
    <w:rsid w:val="002133E8"/>
    <w:rsid w:val="00214FF3"/>
    <w:rsid w:val="00222256"/>
    <w:rsid w:val="002247E0"/>
    <w:rsid w:val="00243454"/>
    <w:rsid w:val="00250971"/>
    <w:rsid w:val="002514C7"/>
    <w:rsid w:val="002750E7"/>
    <w:rsid w:val="002862D3"/>
    <w:rsid w:val="00290C59"/>
    <w:rsid w:val="002A3A57"/>
    <w:rsid w:val="002A75B3"/>
    <w:rsid w:val="002D1412"/>
    <w:rsid w:val="002D7E33"/>
    <w:rsid w:val="002F055E"/>
    <w:rsid w:val="002F1AAC"/>
    <w:rsid w:val="002F4124"/>
    <w:rsid w:val="002F6AFB"/>
    <w:rsid w:val="002F716D"/>
    <w:rsid w:val="00302157"/>
    <w:rsid w:val="00304E31"/>
    <w:rsid w:val="0032737A"/>
    <w:rsid w:val="00330C55"/>
    <w:rsid w:val="003337FE"/>
    <w:rsid w:val="00341009"/>
    <w:rsid w:val="00347CB2"/>
    <w:rsid w:val="003601DD"/>
    <w:rsid w:val="00376BBF"/>
    <w:rsid w:val="00381DFC"/>
    <w:rsid w:val="00391F98"/>
    <w:rsid w:val="00394569"/>
    <w:rsid w:val="003B512B"/>
    <w:rsid w:val="003C60BB"/>
    <w:rsid w:val="003C7B3B"/>
    <w:rsid w:val="003D5574"/>
    <w:rsid w:val="003F36D0"/>
    <w:rsid w:val="00401C16"/>
    <w:rsid w:val="0041058D"/>
    <w:rsid w:val="00414556"/>
    <w:rsid w:val="004222AD"/>
    <w:rsid w:val="00437B9D"/>
    <w:rsid w:val="00451F2F"/>
    <w:rsid w:val="00456A92"/>
    <w:rsid w:val="004573A1"/>
    <w:rsid w:val="00457ABA"/>
    <w:rsid w:val="0046175D"/>
    <w:rsid w:val="00472C19"/>
    <w:rsid w:val="004817E0"/>
    <w:rsid w:val="00486349"/>
    <w:rsid w:val="00492AB2"/>
    <w:rsid w:val="004976AD"/>
    <w:rsid w:val="004A4EE2"/>
    <w:rsid w:val="004B4150"/>
    <w:rsid w:val="004B5FBD"/>
    <w:rsid w:val="004B7365"/>
    <w:rsid w:val="004C1DEC"/>
    <w:rsid w:val="004D121F"/>
    <w:rsid w:val="004F02D8"/>
    <w:rsid w:val="004F4494"/>
    <w:rsid w:val="00505D2E"/>
    <w:rsid w:val="00506B95"/>
    <w:rsid w:val="00512E25"/>
    <w:rsid w:val="0051475E"/>
    <w:rsid w:val="00514D22"/>
    <w:rsid w:val="00521C46"/>
    <w:rsid w:val="00541226"/>
    <w:rsid w:val="00541AB9"/>
    <w:rsid w:val="00543947"/>
    <w:rsid w:val="00544934"/>
    <w:rsid w:val="005519F8"/>
    <w:rsid w:val="005560E6"/>
    <w:rsid w:val="005561D5"/>
    <w:rsid w:val="00571F42"/>
    <w:rsid w:val="005812B8"/>
    <w:rsid w:val="005968DB"/>
    <w:rsid w:val="00596ABE"/>
    <w:rsid w:val="005A0D86"/>
    <w:rsid w:val="005A0DC5"/>
    <w:rsid w:val="005B376B"/>
    <w:rsid w:val="005B6D2B"/>
    <w:rsid w:val="005B7E2D"/>
    <w:rsid w:val="005C6684"/>
    <w:rsid w:val="005F44F4"/>
    <w:rsid w:val="005F5F38"/>
    <w:rsid w:val="00611203"/>
    <w:rsid w:val="00611F19"/>
    <w:rsid w:val="00622084"/>
    <w:rsid w:val="00624A15"/>
    <w:rsid w:val="00625919"/>
    <w:rsid w:val="0062601A"/>
    <w:rsid w:val="00631CFD"/>
    <w:rsid w:val="006449BD"/>
    <w:rsid w:val="00655372"/>
    <w:rsid w:val="00677A34"/>
    <w:rsid w:val="00677C7B"/>
    <w:rsid w:val="00685937"/>
    <w:rsid w:val="006972EC"/>
    <w:rsid w:val="006A16C7"/>
    <w:rsid w:val="006A237F"/>
    <w:rsid w:val="006B4A38"/>
    <w:rsid w:val="006D76C7"/>
    <w:rsid w:val="006F09E0"/>
    <w:rsid w:val="006F2256"/>
    <w:rsid w:val="006F2917"/>
    <w:rsid w:val="0070538B"/>
    <w:rsid w:val="00713170"/>
    <w:rsid w:val="007219B2"/>
    <w:rsid w:val="00727384"/>
    <w:rsid w:val="00736CDF"/>
    <w:rsid w:val="00740079"/>
    <w:rsid w:val="00740197"/>
    <w:rsid w:val="007418CE"/>
    <w:rsid w:val="00744747"/>
    <w:rsid w:val="007548F5"/>
    <w:rsid w:val="00763E85"/>
    <w:rsid w:val="00764D3A"/>
    <w:rsid w:val="00771C4D"/>
    <w:rsid w:val="00774107"/>
    <w:rsid w:val="00780145"/>
    <w:rsid w:val="0078761C"/>
    <w:rsid w:val="007905F7"/>
    <w:rsid w:val="00793180"/>
    <w:rsid w:val="00794EA0"/>
    <w:rsid w:val="007A21D7"/>
    <w:rsid w:val="007A2E8C"/>
    <w:rsid w:val="007A4D46"/>
    <w:rsid w:val="007A7628"/>
    <w:rsid w:val="007B220B"/>
    <w:rsid w:val="007D17D9"/>
    <w:rsid w:val="007E2AC8"/>
    <w:rsid w:val="007F2DEB"/>
    <w:rsid w:val="0080231B"/>
    <w:rsid w:val="00814FD5"/>
    <w:rsid w:val="00817066"/>
    <w:rsid w:val="0082380E"/>
    <w:rsid w:val="0082596C"/>
    <w:rsid w:val="00833E08"/>
    <w:rsid w:val="00834533"/>
    <w:rsid w:val="00837DAB"/>
    <w:rsid w:val="008421B7"/>
    <w:rsid w:val="00852890"/>
    <w:rsid w:val="00852FF5"/>
    <w:rsid w:val="00861EC4"/>
    <w:rsid w:val="0087118F"/>
    <w:rsid w:val="00883CFF"/>
    <w:rsid w:val="00886E82"/>
    <w:rsid w:val="008A24BF"/>
    <w:rsid w:val="008B0584"/>
    <w:rsid w:val="008B38FA"/>
    <w:rsid w:val="008B59F2"/>
    <w:rsid w:val="008C1174"/>
    <w:rsid w:val="008C479D"/>
    <w:rsid w:val="008C5326"/>
    <w:rsid w:val="008D410F"/>
    <w:rsid w:val="008E1153"/>
    <w:rsid w:val="008E2C10"/>
    <w:rsid w:val="008F37BE"/>
    <w:rsid w:val="00904AF1"/>
    <w:rsid w:val="00905FC6"/>
    <w:rsid w:val="00923787"/>
    <w:rsid w:val="00926299"/>
    <w:rsid w:val="0093180F"/>
    <w:rsid w:val="009337D5"/>
    <w:rsid w:val="00937C36"/>
    <w:rsid w:val="009428F2"/>
    <w:rsid w:val="00950A9F"/>
    <w:rsid w:val="00952543"/>
    <w:rsid w:val="0096057E"/>
    <w:rsid w:val="00961A8B"/>
    <w:rsid w:val="00964552"/>
    <w:rsid w:val="00967045"/>
    <w:rsid w:val="00981DAB"/>
    <w:rsid w:val="00982808"/>
    <w:rsid w:val="00983FE2"/>
    <w:rsid w:val="0098799F"/>
    <w:rsid w:val="00990890"/>
    <w:rsid w:val="009A26DB"/>
    <w:rsid w:val="009B0353"/>
    <w:rsid w:val="009C13AD"/>
    <w:rsid w:val="009D07BA"/>
    <w:rsid w:val="009D0A31"/>
    <w:rsid w:val="009E2DD5"/>
    <w:rsid w:val="009F4F5A"/>
    <w:rsid w:val="00A178B0"/>
    <w:rsid w:val="00A23DAC"/>
    <w:rsid w:val="00A3284F"/>
    <w:rsid w:val="00A46342"/>
    <w:rsid w:val="00A55AC8"/>
    <w:rsid w:val="00A56C94"/>
    <w:rsid w:val="00A72420"/>
    <w:rsid w:val="00A83136"/>
    <w:rsid w:val="00A85E3A"/>
    <w:rsid w:val="00A9347B"/>
    <w:rsid w:val="00AA1189"/>
    <w:rsid w:val="00AA5358"/>
    <w:rsid w:val="00AA5E36"/>
    <w:rsid w:val="00AA6C40"/>
    <w:rsid w:val="00AB4430"/>
    <w:rsid w:val="00AD4F4F"/>
    <w:rsid w:val="00AD52C2"/>
    <w:rsid w:val="00AE2533"/>
    <w:rsid w:val="00AF285B"/>
    <w:rsid w:val="00B0555A"/>
    <w:rsid w:val="00B31183"/>
    <w:rsid w:val="00B40159"/>
    <w:rsid w:val="00B45F8E"/>
    <w:rsid w:val="00B45FFC"/>
    <w:rsid w:val="00B5168B"/>
    <w:rsid w:val="00B51F5B"/>
    <w:rsid w:val="00B6140A"/>
    <w:rsid w:val="00B61D78"/>
    <w:rsid w:val="00B71100"/>
    <w:rsid w:val="00B7441A"/>
    <w:rsid w:val="00B91444"/>
    <w:rsid w:val="00B97E29"/>
    <w:rsid w:val="00BB0B9A"/>
    <w:rsid w:val="00BC0BFD"/>
    <w:rsid w:val="00BC2931"/>
    <w:rsid w:val="00BC794F"/>
    <w:rsid w:val="00BD7F27"/>
    <w:rsid w:val="00BE01F5"/>
    <w:rsid w:val="00BE05F5"/>
    <w:rsid w:val="00BE0EBE"/>
    <w:rsid w:val="00BE3144"/>
    <w:rsid w:val="00BE661A"/>
    <w:rsid w:val="00BF32CA"/>
    <w:rsid w:val="00BF78C1"/>
    <w:rsid w:val="00C032FC"/>
    <w:rsid w:val="00C045CA"/>
    <w:rsid w:val="00C05705"/>
    <w:rsid w:val="00C1472C"/>
    <w:rsid w:val="00C237BD"/>
    <w:rsid w:val="00C278CD"/>
    <w:rsid w:val="00C30965"/>
    <w:rsid w:val="00C34D8F"/>
    <w:rsid w:val="00C411E3"/>
    <w:rsid w:val="00C6202F"/>
    <w:rsid w:val="00C73B04"/>
    <w:rsid w:val="00C775C9"/>
    <w:rsid w:val="00C967F6"/>
    <w:rsid w:val="00CA1CA8"/>
    <w:rsid w:val="00CA287C"/>
    <w:rsid w:val="00CA36FA"/>
    <w:rsid w:val="00CA3BE5"/>
    <w:rsid w:val="00CB5916"/>
    <w:rsid w:val="00CC1A0C"/>
    <w:rsid w:val="00CD4172"/>
    <w:rsid w:val="00CD5EB5"/>
    <w:rsid w:val="00CE0ABD"/>
    <w:rsid w:val="00CE550D"/>
    <w:rsid w:val="00CE65BA"/>
    <w:rsid w:val="00CF0BCF"/>
    <w:rsid w:val="00CF6BD6"/>
    <w:rsid w:val="00CF751D"/>
    <w:rsid w:val="00D22E8F"/>
    <w:rsid w:val="00D247AC"/>
    <w:rsid w:val="00D316FA"/>
    <w:rsid w:val="00D37B93"/>
    <w:rsid w:val="00D4490D"/>
    <w:rsid w:val="00D45985"/>
    <w:rsid w:val="00D45A13"/>
    <w:rsid w:val="00D5479F"/>
    <w:rsid w:val="00D60B57"/>
    <w:rsid w:val="00D714AE"/>
    <w:rsid w:val="00D766AA"/>
    <w:rsid w:val="00D913A0"/>
    <w:rsid w:val="00D91424"/>
    <w:rsid w:val="00D94748"/>
    <w:rsid w:val="00D967D9"/>
    <w:rsid w:val="00DA4402"/>
    <w:rsid w:val="00DA6349"/>
    <w:rsid w:val="00DB0282"/>
    <w:rsid w:val="00DB6DFB"/>
    <w:rsid w:val="00DB7480"/>
    <w:rsid w:val="00DD3725"/>
    <w:rsid w:val="00E12D05"/>
    <w:rsid w:val="00E17ABF"/>
    <w:rsid w:val="00E21019"/>
    <w:rsid w:val="00E2285B"/>
    <w:rsid w:val="00E24472"/>
    <w:rsid w:val="00E2492E"/>
    <w:rsid w:val="00E33D03"/>
    <w:rsid w:val="00E34104"/>
    <w:rsid w:val="00E3758C"/>
    <w:rsid w:val="00E40F3D"/>
    <w:rsid w:val="00E44D49"/>
    <w:rsid w:val="00E45425"/>
    <w:rsid w:val="00E74B6E"/>
    <w:rsid w:val="00E7589B"/>
    <w:rsid w:val="00E81505"/>
    <w:rsid w:val="00E86886"/>
    <w:rsid w:val="00E90BF3"/>
    <w:rsid w:val="00E95589"/>
    <w:rsid w:val="00EB1D2E"/>
    <w:rsid w:val="00EB7571"/>
    <w:rsid w:val="00EC1877"/>
    <w:rsid w:val="00EC7D41"/>
    <w:rsid w:val="00ED2E67"/>
    <w:rsid w:val="00ED33F4"/>
    <w:rsid w:val="00ED47A5"/>
    <w:rsid w:val="00ED68E6"/>
    <w:rsid w:val="00ED699F"/>
    <w:rsid w:val="00EE580E"/>
    <w:rsid w:val="00EE5CFF"/>
    <w:rsid w:val="00EF1E5E"/>
    <w:rsid w:val="00F003F2"/>
    <w:rsid w:val="00F03C47"/>
    <w:rsid w:val="00F131E0"/>
    <w:rsid w:val="00F1627F"/>
    <w:rsid w:val="00F172C4"/>
    <w:rsid w:val="00F2592C"/>
    <w:rsid w:val="00F332CD"/>
    <w:rsid w:val="00F50A08"/>
    <w:rsid w:val="00F52DBD"/>
    <w:rsid w:val="00F55053"/>
    <w:rsid w:val="00F556B0"/>
    <w:rsid w:val="00F561B7"/>
    <w:rsid w:val="00F604EB"/>
    <w:rsid w:val="00F660CF"/>
    <w:rsid w:val="00F77074"/>
    <w:rsid w:val="00F80394"/>
    <w:rsid w:val="00F81E08"/>
    <w:rsid w:val="00F93AF2"/>
    <w:rsid w:val="00FA5DC5"/>
    <w:rsid w:val="00FB1295"/>
    <w:rsid w:val="00FB5F86"/>
    <w:rsid w:val="00FC4437"/>
    <w:rsid w:val="00FD271A"/>
    <w:rsid w:val="00FE11B2"/>
    <w:rsid w:val="00FE3FBE"/>
    <w:rsid w:val="00FE4B81"/>
    <w:rsid w:val="00FE7C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41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7441A"/>
    <w:pPr>
      <w:tabs>
        <w:tab w:val="center" w:pos="4513"/>
        <w:tab w:val="right" w:pos="9026"/>
      </w:tabs>
    </w:pPr>
  </w:style>
  <w:style w:type="character" w:customStyle="1" w:styleId="FooterChar">
    <w:name w:val="Footer Char"/>
    <w:basedOn w:val="DefaultParagraphFont"/>
    <w:link w:val="Footer"/>
    <w:uiPriority w:val="99"/>
    <w:rsid w:val="00B7441A"/>
    <w:rPr>
      <w:rFonts w:ascii="Calibri" w:eastAsia="Calibri" w:hAnsi="Calibri" w:cs="Times New Roman"/>
    </w:rPr>
  </w:style>
  <w:style w:type="paragraph" w:styleId="FootnoteText">
    <w:name w:val="footnote text"/>
    <w:basedOn w:val="Normal"/>
    <w:link w:val="FootnoteTextChar"/>
    <w:semiHidden/>
    <w:rsid w:val="00B7441A"/>
    <w:rPr>
      <w:sz w:val="20"/>
      <w:szCs w:val="20"/>
    </w:rPr>
  </w:style>
  <w:style w:type="character" w:customStyle="1" w:styleId="FootnoteTextChar">
    <w:name w:val="Footnote Text Char"/>
    <w:basedOn w:val="DefaultParagraphFont"/>
    <w:link w:val="FootnoteText"/>
    <w:semiHidden/>
    <w:rsid w:val="00B7441A"/>
    <w:rPr>
      <w:rFonts w:ascii="Calibri" w:eastAsia="Calibri" w:hAnsi="Calibri" w:cs="Times New Roman"/>
      <w:sz w:val="20"/>
      <w:szCs w:val="20"/>
    </w:rPr>
  </w:style>
  <w:style w:type="character" w:styleId="FootnoteReference">
    <w:name w:val="footnote reference"/>
    <w:semiHidden/>
    <w:rsid w:val="00B7441A"/>
    <w:rPr>
      <w:vertAlign w:val="superscript"/>
    </w:rPr>
  </w:style>
  <w:style w:type="paragraph" w:styleId="ListParagraph">
    <w:name w:val="List Paragraph"/>
    <w:basedOn w:val="Normal"/>
    <w:uiPriority w:val="34"/>
    <w:qFormat/>
    <w:rsid w:val="00B7441A"/>
    <w:pPr>
      <w:spacing w:after="0" w:line="240" w:lineRule="auto"/>
      <w:ind w:left="720"/>
      <w:contextualSpacing/>
    </w:pPr>
    <w:rPr>
      <w:rFonts w:ascii="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41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7441A"/>
    <w:pPr>
      <w:tabs>
        <w:tab w:val="center" w:pos="4513"/>
        <w:tab w:val="right" w:pos="9026"/>
      </w:tabs>
    </w:pPr>
  </w:style>
  <w:style w:type="character" w:customStyle="1" w:styleId="FooterChar">
    <w:name w:val="Footer Char"/>
    <w:basedOn w:val="DefaultParagraphFont"/>
    <w:link w:val="Footer"/>
    <w:uiPriority w:val="99"/>
    <w:rsid w:val="00B7441A"/>
    <w:rPr>
      <w:rFonts w:ascii="Calibri" w:eastAsia="Calibri" w:hAnsi="Calibri" w:cs="Times New Roman"/>
    </w:rPr>
  </w:style>
  <w:style w:type="paragraph" w:styleId="FootnoteText">
    <w:name w:val="footnote text"/>
    <w:basedOn w:val="Normal"/>
    <w:link w:val="FootnoteTextChar"/>
    <w:semiHidden/>
    <w:rsid w:val="00B7441A"/>
    <w:rPr>
      <w:sz w:val="20"/>
      <w:szCs w:val="20"/>
    </w:rPr>
  </w:style>
  <w:style w:type="character" w:customStyle="1" w:styleId="FootnoteTextChar">
    <w:name w:val="Footnote Text Char"/>
    <w:basedOn w:val="DefaultParagraphFont"/>
    <w:link w:val="FootnoteText"/>
    <w:semiHidden/>
    <w:rsid w:val="00B7441A"/>
    <w:rPr>
      <w:rFonts w:ascii="Calibri" w:eastAsia="Calibri" w:hAnsi="Calibri" w:cs="Times New Roman"/>
      <w:sz w:val="20"/>
      <w:szCs w:val="20"/>
    </w:rPr>
  </w:style>
  <w:style w:type="character" w:styleId="FootnoteReference">
    <w:name w:val="footnote reference"/>
    <w:semiHidden/>
    <w:rsid w:val="00B7441A"/>
    <w:rPr>
      <w:vertAlign w:val="superscript"/>
    </w:rPr>
  </w:style>
  <w:style w:type="paragraph" w:styleId="ListParagraph">
    <w:name w:val="List Paragraph"/>
    <w:basedOn w:val="Normal"/>
    <w:uiPriority w:val="34"/>
    <w:qFormat/>
    <w:rsid w:val="00B7441A"/>
    <w:pPr>
      <w:spacing w:after="0" w:line="240" w:lineRule="auto"/>
      <w:ind w:left="720"/>
      <w:contextualSpacing/>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2629</Words>
  <Characters>14988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U S Department of State</Company>
  <LinksUpToDate>false</LinksUpToDate>
  <CharactersWithSpaces>17582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Oh</dc:creator>
  <cp:lastModifiedBy>"%username%"</cp:lastModifiedBy>
  <cp:revision>2</cp:revision>
  <dcterms:created xsi:type="dcterms:W3CDTF">2016-04-27T14:12:00Z</dcterms:created>
  <dcterms:modified xsi:type="dcterms:W3CDTF">2016-04-27T14:12:00Z</dcterms:modified>
</cp:coreProperties>
</file>